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87E027">
      <w:pPr>
        <w:jc w:val="center"/>
        <w:rPr>
          <w:rFonts w:hint="eastAsia" w:ascii="Times New Roman" w:hAnsi="Times New Roman" w:eastAsia="宋体"/>
          <w:b/>
          <w:bCs/>
          <w:sz w:val="15"/>
          <w:szCs w:val="15"/>
          <w:lang w:eastAsia="zh-CN"/>
        </w:rPr>
      </w:pPr>
    </w:p>
    <w:p w14:paraId="64FAFB28">
      <w:pPr>
        <w:jc w:val="center"/>
        <w:rPr>
          <w:rFonts w:hint="eastAsia" w:ascii="Times New Roman" w:hAnsi="Times New Roman" w:eastAsia="宋体"/>
          <w:b/>
          <w:bCs/>
          <w:sz w:val="32"/>
          <w:szCs w:val="32"/>
          <w:lang w:eastAsia="zh-CN"/>
        </w:rPr>
      </w:pPr>
    </w:p>
    <w:p w14:paraId="0976E3A6">
      <w:pPr>
        <w:rPr>
          <w:rFonts w:hint="eastAsia" w:ascii="Times New Roman" w:hAnsi="Times New Roman"/>
          <w:b/>
          <w:bCs/>
          <w:sz w:val="32"/>
          <w:szCs w:val="32"/>
        </w:rPr>
      </w:pPr>
    </w:p>
    <w:p w14:paraId="7882DB9B">
      <w:pPr>
        <w:rPr>
          <w:rFonts w:hint="eastAsia" w:ascii="Times New Roman" w:hAnsi="Times New Roman"/>
          <w:b/>
          <w:bCs/>
          <w:sz w:val="32"/>
          <w:szCs w:val="32"/>
        </w:rPr>
      </w:pPr>
    </w:p>
    <w:p w14:paraId="7EA16331">
      <w:pPr>
        <w:rPr>
          <w:rFonts w:hint="eastAsia" w:ascii="Times New Roman" w:hAnsi="Times New Roman"/>
          <w:b/>
          <w:bCs/>
          <w:sz w:val="32"/>
          <w:szCs w:val="32"/>
        </w:rPr>
      </w:pPr>
    </w:p>
    <w:p w14:paraId="63C493F5">
      <w:pPr>
        <w:rPr>
          <w:rFonts w:hint="eastAsia" w:ascii="Times New Roman" w:hAnsi="Times New Roman"/>
          <w:b/>
          <w:bCs/>
          <w:sz w:val="32"/>
          <w:szCs w:val="32"/>
        </w:rPr>
      </w:pPr>
    </w:p>
    <w:p w14:paraId="1F27D83F">
      <w:pPr>
        <w:rPr>
          <w:rFonts w:hint="eastAsia" w:ascii="Times New Roman" w:hAnsi="Times New Roman"/>
          <w:b/>
          <w:bCs/>
          <w:sz w:val="32"/>
          <w:szCs w:val="32"/>
        </w:rPr>
      </w:pPr>
    </w:p>
    <w:p w14:paraId="4C1E8025">
      <w:pPr>
        <w:rPr>
          <w:rFonts w:hint="eastAsia" w:ascii="Times New Roman" w:hAnsi="Times New Roman"/>
          <w:b/>
          <w:bCs/>
          <w:sz w:val="32"/>
          <w:szCs w:val="32"/>
        </w:rPr>
      </w:pPr>
    </w:p>
    <w:p w14:paraId="656EDD37">
      <w:pPr>
        <w:rPr>
          <w:rFonts w:hint="eastAsia" w:ascii="Times New Roman" w:hAnsi="Times New Roman"/>
          <w:b/>
          <w:bCs/>
          <w:sz w:val="32"/>
          <w:szCs w:val="32"/>
        </w:rPr>
      </w:pPr>
    </w:p>
    <w:p w14:paraId="4ACB9433">
      <w:pPr>
        <w:jc w:val="center"/>
        <w:rPr>
          <w:rFonts w:hint="eastAsia" w:ascii="Times New Roman" w:hAnsi="Times New Roman"/>
          <w:b/>
          <w:bCs/>
          <w:sz w:val="84"/>
          <w:szCs w:val="84"/>
        </w:rPr>
      </w:pPr>
      <w:r>
        <w:rPr>
          <w:rFonts w:hint="eastAsia" w:ascii="Times New Roman" w:hAnsi="Times New Roman"/>
          <w:b/>
          <w:bCs/>
          <w:sz w:val="84"/>
          <w:szCs w:val="84"/>
        </w:rPr>
        <w:t>《家园社合作共育》</w:t>
      </w:r>
    </w:p>
    <w:p w14:paraId="0024D093">
      <w:pPr>
        <w:jc w:val="center"/>
        <w:rPr>
          <w:rFonts w:hint="eastAsia" w:ascii="Times New Roman" w:hAnsi="Times New Roman"/>
          <w:b/>
          <w:bCs/>
          <w:sz w:val="72"/>
          <w:szCs w:val="72"/>
        </w:rPr>
      </w:pPr>
    </w:p>
    <w:p w14:paraId="1E5E2D35">
      <w:pPr>
        <w:jc w:val="center"/>
        <w:rPr>
          <w:rFonts w:hint="eastAsia" w:ascii="Times New Roman" w:hAnsi="Times New Roman"/>
          <w:b/>
          <w:bCs/>
          <w:sz w:val="72"/>
          <w:szCs w:val="72"/>
        </w:rPr>
      </w:pPr>
      <w:r>
        <w:rPr>
          <w:rFonts w:hint="eastAsia" w:ascii="Times New Roman" w:hAnsi="Times New Roman"/>
          <w:b/>
          <w:bCs/>
          <w:sz w:val="72"/>
          <w:szCs w:val="72"/>
        </w:rPr>
        <w:t>教案</w:t>
      </w:r>
    </w:p>
    <w:p w14:paraId="032B382C">
      <w:pPr>
        <w:jc w:val="center"/>
        <w:rPr>
          <w:rFonts w:hint="eastAsia" w:ascii="Times New Roman" w:hAnsi="Times New Roman"/>
          <w:b/>
          <w:bCs/>
          <w:sz w:val="28"/>
          <w:szCs w:val="28"/>
        </w:rPr>
      </w:pPr>
    </w:p>
    <w:p w14:paraId="6B6BC5C0">
      <w:pPr>
        <w:jc w:val="both"/>
        <w:rPr>
          <w:rFonts w:hint="eastAsia" w:ascii="Times New Roman" w:hAnsi="Times New Roman"/>
          <w:b/>
          <w:bCs/>
          <w:sz w:val="28"/>
          <w:szCs w:val="28"/>
        </w:rPr>
      </w:pPr>
    </w:p>
    <w:p w14:paraId="6BE84176">
      <w:pPr>
        <w:jc w:val="center"/>
        <w:rPr>
          <w:rFonts w:hint="eastAsia" w:ascii="Times New Roman" w:hAnsi="Times New Roman"/>
          <w:b/>
          <w:bCs/>
          <w:sz w:val="28"/>
          <w:szCs w:val="28"/>
        </w:rPr>
      </w:pPr>
    </w:p>
    <w:p w14:paraId="104E55A0">
      <w:pPr>
        <w:jc w:val="center"/>
        <w:rPr>
          <w:rFonts w:hint="eastAsia" w:ascii="Times New Roman" w:hAnsi="Times New Roman"/>
          <w:b/>
          <w:bCs/>
          <w:sz w:val="28"/>
          <w:szCs w:val="28"/>
        </w:rPr>
      </w:pPr>
    </w:p>
    <w:p w14:paraId="075A8FF0">
      <w:pPr>
        <w:jc w:val="center"/>
        <w:rPr>
          <w:rFonts w:hint="eastAsia" w:ascii="Times New Roman" w:hAnsi="Times New Roman"/>
          <w:b/>
          <w:bCs/>
          <w:sz w:val="28"/>
          <w:szCs w:val="28"/>
        </w:rPr>
      </w:pPr>
    </w:p>
    <w:p w14:paraId="375DB611">
      <w:pPr>
        <w:jc w:val="center"/>
        <w:rPr>
          <w:rFonts w:hint="eastAsia" w:ascii="Times New Roman" w:hAnsi="Times New Roman"/>
          <w:b/>
          <w:bCs/>
          <w:sz w:val="28"/>
          <w:szCs w:val="28"/>
        </w:rPr>
      </w:pPr>
    </w:p>
    <w:p w14:paraId="0BBB28FC">
      <w:pPr>
        <w:jc w:val="center"/>
        <w:rPr>
          <w:rFonts w:hint="eastAsia" w:ascii="Times New Roman" w:hAnsi="Times New Roman"/>
          <w:b/>
          <w:bCs/>
          <w:sz w:val="28"/>
          <w:szCs w:val="28"/>
        </w:rPr>
      </w:pPr>
    </w:p>
    <w:p w14:paraId="23ACA246">
      <w:pPr>
        <w:jc w:val="center"/>
        <w:rPr>
          <w:rFonts w:hint="eastAsia" w:ascii="Times New Roman" w:hAnsi="Times New Roman"/>
          <w:b/>
          <w:bCs/>
          <w:sz w:val="28"/>
          <w:szCs w:val="28"/>
        </w:rPr>
      </w:pPr>
    </w:p>
    <w:p w14:paraId="2A619DC7">
      <w:pPr>
        <w:jc w:val="center"/>
        <w:rPr>
          <w:rFonts w:hint="eastAsia" w:ascii="Times New Roman" w:hAnsi="Times New Roman"/>
          <w:b/>
          <w:bCs/>
          <w:sz w:val="28"/>
          <w:szCs w:val="28"/>
        </w:rPr>
      </w:pPr>
    </w:p>
    <w:p w14:paraId="3FDE9012">
      <w:pPr>
        <w:jc w:val="center"/>
        <w:rPr>
          <w:rFonts w:hint="eastAsia" w:ascii="Times New Roman" w:hAnsi="Times New Roman"/>
          <w:b/>
          <w:bCs/>
          <w:sz w:val="28"/>
          <w:szCs w:val="28"/>
        </w:rPr>
      </w:pPr>
    </w:p>
    <w:p w14:paraId="3D3EE7BF">
      <w:pPr>
        <w:jc w:val="center"/>
        <w:rPr>
          <w:rFonts w:hint="default" w:ascii="Times New Roman" w:hAnsi="Times New Roman" w:eastAsia="宋体"/>
          <w:b/>
          <w:bCs/>
          <w:sz w:val="28"/>
          <w:szCs w:val="28"/>
          <w:lang w:val="en-US" w:eastAsia="zh-CN"/>
        </w:rPr>
        <w:sectPr>
          <w:headerReference r:id="rId4" w:type="first"/>
          <w:headerReference r:id="rId3" w:type="default"/>
          <w:pgSz w:w="11906" w:h="16838"/>
          <w:pgMar w:top="283" w:right="170" w:bottom="283" w:left="170" w:header="0" w:footer="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sz w:val="28"/>
          <w:szCs w:val="28"/>
          <w:lang w:val="en-US" w:eastAsia="zh-CN"/>
        </w:rPr>
        <w:t>北京出版社</w:t>
      </w:r>
    </w:p>
    <w:p w14:paraId="22A1CA09">
      <w:pPr>
        <w:pStyle w:val="2"/>
        <w:bidi w:val="0"/>
        <w:jc w:val="center"/>
        <w:rPr>
          <w:rFonts w:hint="eastAsia" w:ascii="宋体" w:hAnsi="宋体" w:eastAsia="宋体" w:cs="宋体"/>
          <w:color w:val="auto"/>
          <w:lang w:eastAsia="zh-CN"/>
        </w:rPr>
      </w:pPr>
      <w:r>
        <w:rPr>
          <w:rFonts w:hint="eastAsia" w:ascii="宋体" w:hAnsi="宋体" w:cs="宋体"/>
          <w:color w:val="auto"/>
          <w:lang w:val="en-US" w:eastAsia="zh-CN"/>
        </w:rPr>
        <w:t>项目二</w:t>
      </w:r>
      <w:r>
        <w:rPr>
          <w:rFonts w:hint="eastAsia" w:ascii="宋体" w:hAnsi="宋体" w:eastAsia="宋体" w:cs="宋体"/>
          <w:color w:val="auto"/>
          <w:lang w:val="en-US" w:eastAsia="zh-CN"/>
        </w:rPr>
        <w:t xml:space="preserve"> </w:t>
      </w:r>
      <w:r>
        <w:rPr>
          <w:rFonts w:hint="eastAsia" w:ascii="宋体" w:hAnsi="宋体" w:cs="宋体"/>
          <w:color w:val="auto"/>
          <w:lang w:val="en-US" w:eastAsia="zh-CN"/>
        </w:rPr>
        <w:t>探索家园社合作共育的新路径</w:t>
      </w:r>
      <w:bookmarkStart w:id="0" w:name="_GoBack"/>
      <w:bookmarkEnd w:id="0"/>
    </w:p>
    <w:tbl>
      <w:tblPr>
        <w:tblStyle w:val="9"/>
        <w:tblW w:w="11055"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661"/>
        <w:gridCol w:w="7479"/>
        <w:gridCol w:w="1915"/>
      </w:tblGrid>
      <w:tr w14:paraId="73DA230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9CD0456">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课题</w:t>
            </w:r>
          </w:p>
        </w:tc>
        <w:tc>
          <w:tcPr>
            <w:tcW w:w="9394" w:type="dxa"/>
            <w:gridSpan w:val="2"/>
            <w:tcBorders>
              <w:tl2br w:val="nil"/>
              <w:tr2bl w:val="nil"/>
            </w:tcBorders>
            <w:vAlign w:val="center"/>
          </w:tcPr>
          <w:p w14:paraId="129F02FA">
            <w:pPr>
              <w:keepNext w:val="0"/>
              <w:keepLines w:val="0"/>
              <w:suppressLineNumbers w:val="0"/>
              <w:spacing w:before="0" w:beforeAutospacing="0" w:after="0" w:afterAutospacing="0" w:line="264" w:lineRule="auto"/>
              <w:ind w:left="0" w:right="0" w:hanging="8"/>
              <w:rPr>
                <w:rFonts w:hint="eastAsia" w:ascii="Times New Roman" w:hAnsi="Times New Roman" w:eastAsia="宋体"/>
                <w:sz w:val="24"/>
                <w:szCs w:val="24"/>
                <w:lang w:eastAsia="zh-CN"/>
              </w:rPr>
            </w:pPr>
            <w:r>
              <w:rPr>
                <w:rFonts w:hint="eastAsia" w:ascii="Times New Roman" w:hAnsi="宋体"/>
                <w:b/>
                <w:bCs/>
                <w:color w:val="4472C4" w:themeColor="accent5"/>
                <w:sz w:val="28"/>
                <w:szCs w:val="28"/>
                <w:lang w:val="en-US" w:eastAsia="zh-CN"/>
                <w14:textFill>
                  <w14:solidFill>
                    <w14:schemeClr w14:val="accent5"/>
                  </w14:solidFill>
                </w14:textFill>
              </w:rPr>
              <w:t>探索家园社合作共育的新路径</w:t>
            </w:r>
          </w:p>
        </w:tc>
      </w:tr>
      <w:tr w14:paraId="692DC3D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D60B213">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课时</w:t>
            </w:r>
          </w:p>
        </w:tc>
        <w:tc>
          <w:tcPr>
            <w:tcW w:w="9394" w:type="dxa"/>
            <w:gridSpan w:val="2"/>
            <w:tcBorders>
              <w:tl2br w:val="nil"/>
              <w:tr2bl w:val="nil"/>
            </w:tcBorders>
            <w:vAlign w:val="center"/>
          </w:tcPr>
          <w:p w14:paraId="28BCF084">
            <w:pPr>
              <w:keepNext w:val="0"/>
              <w:keepLines w:val="0"/>
              <w:suppressLineNumbers w:val="0"/>
              <w:spacing w:before="0" w:beforeAutospacing="0" w:after="0" w:afterAutospacing="0" w:line="264"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14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630</w:t>
            </w:r>
            <w:r>
              <w:rPr>
                <w:rFonts w:hint="eastAsia" w:ascii="Times New Roman" w:hAnsi="宋体"/>
                <w:sz w:val="24"/>
                <w:szCs w:val="24"/>
              </w:rPr>
              <w:t>min）。</w:t>
            </w:r>
          </w:p>
        </w:tc>
      </w:tr>
      <w:tr w14:paraId="41AB1E4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0FA62C14">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教学目标</w:t>
            </w:r>
          </w:p>
        </w:tc>
        <w:tc>
          <w:tcPr>
            <w:tcW w:w="9394" w:type="dxa"/>
            <w:gridSpan w:val="2"/>
            <w:tcBorders>
              <w:tl2br w:val="nil"/>
              <w:tr2bl w:val="nil"/>
            </w:tcBorders>
            <w:vAlign w:val="center"/>
          </w:tcPr>
          <w:p w14:paraId="231773DE">
            <w:pPr>
              <w:keepNext w:val="0"/>
              <w:keepLines w:val="0"/>
              <w:suppressLineNumbers w:val="0"/>
              <w:spacing w:before="0" w:beforeAutospacing="0" w:after="0" w:afterAutospacing="0" w:line="360" w:lineRule="auto"/>
              <w:ind w:left="0" w:right="0" w:hanging="8"/>
              <w:rPr>
                <w:rFonts w:hint="default"/>
                <w:b/>
                <w:color w:val="4472C4" w:themeColor="accent5"/>
                <w:sz w:val="24"/>
                <w:szCs w:val="24"/>
                <w14:textFill>
                  <w14:solidFill>
                    <w14:schemeClr w14:val="accent5"/>
                  </w14:solidFill>
                </w14:textFill>
              </w:rPr>
            </w:pPr>
            <w:r>
              <w:rPr>
                <w:rFonts w:hint="default" w:hAnsi="宋体"/>
                <w:b/>
                <w:color w:val="4472C4" w:themeColor="accent5"/>
                <w:sz w:val="24"/>
                <w:szCs w:val="24"/>
                <w14:textFill>
                  <w14:solidFill>
                    <w14:schemeClr w14:val="accent5"/>
                  </w14:solidFill>
                </w14:textFill>
              </w:rPr>
              <w:t>知识</w:t>
            </w:r>
            <w:r>
              <w:rPr>
                <w:rFonts w:hint="eastAsia" w:hAnsi="宋体"/>
                <w:b/>
                <w:color w:val="4472C4" w:themeColor="accent5"/>
                <w:sz w:val="24"/>
                <w:szCs w:val="24"/>
                <w14:textFill>
                  <w14:solidFill>
                    <w14:schemeClr w14:val="accent5"/>
                  </w14:solidFill>
                </w14:textFill>
              </w:rPr>
              <w:t>技能</w:t>
            </w:r>
            <w:r>
              <w:rPr>
                <w:rFonts w:hint="default" w:hAnsi="宋体"/>
                <w:b/>
                <w:color w:val="4472C4" w:themeColor="accent5"/>
                <w:sz w:val="24"/>
                <w:szCs w:val="24"/>
                <w14:textFill>
                  <w14:solidFill>
                    <w14:schemeClr w14:val="accent5"/>
                  </w14:solidFill>
                </w14:textFill>
              </w:rPr>
              <w:t>目标：</w:t>
            </w:r>
          </w:p>
          <w:p w14:paraId="236557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解和掌握家园社合作共育的理念、政策框架构建、资源整合策略。</w:t>
            </w:r>
          </w:p>
          <w:p w14:paraId="4EBAE3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分析政策框架的有效性，运用资源整合和家园社合作共育模式进行教学活动。</w:t>
            </w:r>
          </w:p>
          <w:p w14:paraId="4E8A13AF">
            <w:pPr>
              <w:keepNext w:val="0"/>
              <w:keepLines w:val="0"/>
              <w:suppressLineNumbers w:val="0"/>
              <w:spacing w:before="0" w:beforeAutospacing="0" w:after="0" w:afterAutospacing="0" w:line="360" w:lineRule="auto"/>
              <w:ind w:left="0" w:right="0" w:hanging="8"/>
              <w:rPr>
                <w:rFonts w:hint="default" w:ascii="Times New Roman" w:hAnsi="Times New Roman"/>
                <w:b/>
                <w:color w:val="4472C4" w:themeColor="accent5"/>
                <w:sz w:val="24"/>
                <w:szCs w:val="24"/>
                <w14:textFill>
                  <w14:solidFill>
                    <w14:schemeClr w14:val="accent5"/>
                  </w14:solidFill>
                </w14:textFill>
              </w:rPr>
            </w:pPr>
            <w:r>
              <w:rPr>
                <w:rFonts w:hint="default" w:ascii="Times New Roman" w:hAnsi="Times New Roman"/>
                <w:b/>
                <w:color w:val="4472C4" w:themeColor="accent5"/>
                <w:sz w:val="24"/>
                <w:szCs w:val="24"/>
                <w14:textFill>
                  <w14:solidFill>
                    <w14:schemeClr w14:val="accent5"/>
                  </w14:solidFill>
                </w14:textFill>
              </w:rPr>
              <w:t>思政育人目标</w:t>
            </w:r>
            <w:r>
              <w:rPr>
                <w:rFonts w:hint="eastAsia" w:ascii="Times New Roman" w:hAnsi="Times New Roman"/>
                <w:b/>
                <w:color w:val="4472C4" w:themeColor="accent5"/>
                <w:sz w:val="24"/>
                <w:szCs w:val="24"/>
                <w14:textFill>
                  <w14:solidFill>
                    <w14:schemeClr w14:val="accent5"/>
                  </w14:solidFill>
                </w14:textFill>
              </w:rPr>
              <w:t>：</w:t>
            </w:r>
          </w:p>
          <w:p w14:paraId="1E856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让学生通过学习</w:t>
            </w:r>
            <w:r>
              <w:rPr>
                <w:rFonts w:hint="eastAsia" w:ascii="Times New Roman" w:hAnsi="宋体"/>
                <w:bCs/>
                <w:sz w:val="24"/>
                <w:szCs w:val="24"/>
                <w:lang w:eastAsia="zh-CN"/>
              </w:rPr>
              <w:t>家园社合作共育的理论基础和策略</w:t>
            </w:r>
            <w:r>
              <w:rPr>
                <w:rFonts w:hint="eastAsia" w:ascii="Times New Roman" w:hAnsi="宋体"/>
                <w:bCs/>
                <w:sz w:val="24"/>
                <w:szCs w:val="24"/>
              </w:rPr>
              <w:t>，增强教育公平性和包容性的价值观，提升实施家园社合作共育的能力和专业素养。</w:t>
            </w:r>
          </w:p>
        </w:tc>
      </w:tr>
      <w:tr w14:paraId="74BC771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772B045">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教学重难点</w:t>
            </w:r>
          </w:p>
        </w:tc>
        <w:tc>
          <w:tcPr>
            <w:tcW w:w="9394" w:type="dxa"/>
            <w:gridSpan w:val="2"/>
            <w:tcBorders>
              <w:tl2br w:val="nil"/>
              <w:tr2bl w:val="nil"/>
            </w:tcBorders>
            <w:vAlign w:val="center"/>
          </w:tcPr>
          <w:p w14:paraId="6E272B86">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4472C4" w:themeColor="accent5"/>
                <w:sz w:val="24"/>
                <w:szCs w:val="24"/>
                <w14:textFill>
                  <w14:solidFill>
                    <w14:schemeClr w14:val="accent5"/>
                  </w14:solidFill>
                </w14:textFill>
              </w:rPr>
              <w:t>教学重点：</w:t>
            </w:r>
            <w:r>
              <w:rPr>
                <w:rFonts w:hint="eastAsia" w:ascii="宋体" w:hAnsi="宋体" w:cs="宋体"/>
                <w:kern w:val="0"/>
                <w:sz w:val="24"/>
                <w:szCs w:val="24"/>
              </w:rPr>
              <w:t>家园社合作共育的基本概念和发展背景、政策框架与资源整合的关键要素</w:t>
            </w:r>
          </w:p>
          <w:p w14:paraId="50A6F6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color w:val="4472C4" w:themeColor="accent5"/>
                <w:sz w:val="24"/>
                <w:szCs w:val="24"/>
                <w14:textFill>
                  <w14:solidFill>
                    <w14:schemeClr w14:val="accent5"/>
                  </w14:solidFill>
                </w14:textFill>
              </w:rPr>
              <w:t>教学难点：</w:t>
            </w:r>
            <w:r>
              <w:rPr>
                <w:rFonts w:hint="eastAsia" w:ascii="宋体" w:hAnsi="宋体" w:cs="宋体"/>
                <w:kern w:val="0"/>
                <w:sz w:val="24"/>
                <w:szCs w:val="24"/>
              </w:rPr>
              <w:t>构建有效的政策框架和支持系统，梳理和整合政府、社会、家庭三方面资源</w:t>
            </w:r>
          </w:p>
        </w:tc>
      </w:tr>
      <w:tr w14:paraId="15AB42E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4FC88A0">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教学方法</w:t>
            </w:r>
          </w:p>
        </w:tc>
        <w:tc>
          <w:tcPr>
            <w:tcW w:w="9394" w:type="dxa"/>
            <w:gridSpan w:val="2"/>
            <w:tcBorders>
              <w:tl2br w:val="nil"/>
              <w:tr2bl w:val="nil"/>
            </w:tcBorders>
            <w:vAlign w:val="center"/>
          </w:tcPr>
          <w:p w14:paraId="1F984BF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5DD049A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DF74007">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教学用具</w:t>
            </w:r>
          </w:p>
        </w:tc>
        <w:tc>
          <w:tcPr>
            <w:tcW w:w="9394" w:type="dxa"/>
            <w:gridSpan w:val="2"/>
            <w:tcBorders>
              <w:tl2br w:val="nil"/>
              <w:tr2bl w:val="nil"/>
            </w:tcBorders>
            <w:vAlign w:val="center"/>
          </w:tcPr>
          <w:p w14:paraId="48DBA43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36E08C8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bottom w:val="double" w:color="00B0F0" w:sz="4" w:space="0"/>
              <w:tl2br w:val="nil"/>
              <w:tr2bl w:val="nil"/>
            </w:tcBorders>
            <w:shd w:val="clear" w:color="auto" w:fill="E5FAFF"/>
            <w:vAlign w:val="center"/>
          </w:tcPr>
          <w:p w14:paraId="0C79C781">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b/>
                <w:sz w:val="28"/>
                <w:szCs w:val="28"/>
              </w:rPr>
              <w:t>教学设计</w:t>
            </w:r>
          </w:p>
        </w:tc>
        <w:tc>
          <w:tcPr>
            <w:tcW w:w="9394" w:type="dxa"/>
            <w:gridSpan w:val="2"/>
            <w:tcBorders>
              <w:bottom w:val="double" w:color="00B0F0" w:sz="4" w:space="0"/>
              <w:tl2br w:val="nil"/>
              <w:tr2bl w:val="nil"/>
            </w:tcBorders>
            <w:vAlign w:val="center"/>
          </w:tcPr>
          <w:p w14:paraId="3562384A">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2331F69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1CFFA1D0">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5B714EE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2F58F4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00E9759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p w14:paraId="7DE8201A">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7</w:t>
            </w:r>
            <w:r>
              <w:rPr>
                <w:rFonts w:hint="default" w:ascii="Times New Roman" w:hAnsi="宋体"/>
                <w:sz w:val="24"/>
                <w:szCs w:val="24"/>
              </w:rPr>
              <w:t>节课：知识讲解（40min）--课堂小结（3min）--作业布置（2min）</w:t>
            </w:r>
          </w:p>
          <w:p w14:paraId="1E21130B">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8</w:t>
            </w:r>
            <w:r>
              <w:rPr>
                <w:rFonts w:hint="default" w:ascii="Times New Roman" w:hAnsi="宋体"/>
                <w:sz w:val="24"/>
                <w:szCs w:val="24"/>
              </w:rPr>
              <w:t>节课：知识讲解（40min）--课堂小结（3min）--作业布置（2min）</w:t>
            </w:r>
          </w:p>
          <w:p w14:paraId="59F14B4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9</w:t>
            </w:r>
            <w:r>
              <w:rPr>
                <w:rFonts w:hint="default" w:ascii="Times New Roman" w:hAnsi="宋体"/>
                <w:sz w:val="24"/>
                <w:szCs w:val="24"/>
              </w:rPr>
              <w:t>节课：知识讲解（40min）--课堂小结（3min）--作业布置（2min）</w:t>
            </w:r>
          </w:p>
          <w:p w14:paraId="0D3D4FB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10</w:t>
            </w:r>
            <w:r>
              <w:rPr>
                <w:rFonts w:hint="default" w:ascii="Times New Roman" w:hAnsi="宋体"/>
                <w:sz w:val="24"/>
                <w:szCs w:val="24"/>
              </w:rPr>
              <w:t>节课：知识讲解（40min）--课堂小结（3min）--作业布置（2min）</w:t>
            </w:r>
          </w:p>
          <w:p w14:paraId="0EE19D17">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11</w:t>
            </w:r>
            <w:r>
              <w:rPr>
                <w:rFonts w:hint="default" w:ascii="Times New Roman" w:hAnsi="宋体"/>
                <w:sz w:val="24"/>
                <w:szCs w:val="24"/>
              </w:rPr>
              <w:t>节课：知识讲解（40min）--课堂小结（3min）--作业布置（2min）</w:t>
            </w:r>
          </w:p>
          <w:p w14:paraId="40766A7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12</w:t>
            </w:r>
            <w:r>
              <w:rPr>
                <w:rFonts w:hint="default" w:ascii="Times New Roman" w:hAnsi="宋体"/>
                <w:sz w:val="24"/>
                <w:szCs w:val="24"/>
              </w:rPr>
              <w:t>节课：知识讲解（40min）--课堂小结（3min）--作业布置（2min）</w:t>
            </w:r>
          </w:p>
          <w:p w14:paraId="228982E9">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13</w:t>
            </w:r>
            <w:r>
              <w:rPr>
                <w:rFonts w:hint="default" w:ascii="Times New Roman" w:hAnsi="宋体"/>
                <w:sz w:val="24"/>
                <w:szCs w:val="24"/>
              </w:rPr>
              <w:t>节课：知识讲解（40min）--课堂小结（3min）--作业布置（2min）</w:t>
            </w:r>
          </w:p>
          <w:p w14:paraId="677E42B7">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14</w:t>
            </w:r>
            <w:r>
              <w:rPr>
                <w:rFonts w:hint="default" w:ascii="Times New Roman" w:hAnsi="宋体"/>
                <w:sz w:val="24"/>
                <w:szCs w:val="24"/>
              </w:rPr>
              <w:t>节课：知识讲解（40min）--课堂小结（3min）--作业布置（2min）</w:t>
            </w:r>
          </w:p>
        </w:tc>
      </w:tr>
      <w:tr w14:paraId="0F13FC4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op w:val="double" w:color="00B0F0" w:sz="4" w:space="0"/>
              <w:bottom w:val="double" w:color="00B0F0" w:sz="4" w:space="0"/>
            </w:tcBorders>
            <w:shd w:val="clear" w:color="auto" w:fill="45D6FF"/>
            <w:vAlign w:val="center"/>
          </w:tcPr>
          <w:p w14:paraId="2DA797C0">
            <w:pPr>
              <w:keepNext w:val="0"/>
              <w:keepLines w:val="0"/>
              <w:suppressLineNumbers w:val="0"/>
              <w:spacing w:before="0" w:beforeAutospacing="0" w:after="0" w:afterAutospacing="0" w:line="360" w:lineRule="auto"/>
              <w:ind w:left="0" w:right="0" w:hanging="8"/>
              <w:jc w:val="center"/>
              <w:rPr>
                <w:rFonts w:hint="eastAsia" w:ascii="宋体" w:hAnsi="宋体" w:eastAsia="宋体" w:cs="宋体"/>
                <w:b/>
                <w:bCs w:val="0"/>
                <w:color w:val="FFFFFF" w:themeColor="background1"/>
                <w:sz w:val="28"/>
                <w:szCs w:val="28"/>
                <w14:textFill>
                  <w14:solidFill>
                    <w14:schemeClr w14:val="bg1"/>
                  </w14:solidFill>
                </w14:textFill>
              </w:rPr>
            </w:pPr>
            <w:r>
              <w:rPr>
                <w:rFonts w:hint="eastAsia" w:ascii="宋体" w:hAnsi="宋体" w:eastAsia="宋体" w:cs="宋体"/>
                <w:b/>
                <w:bCs w:val="0"/>
                <w:color w:val="FFFFFF" w:themeColor="background1"/>
                <w:sz w:val="28"/>
                <w:szCs w:val="28"/>
                <w14:textFill>
                  <w14:solidFill>
                    <w14:schemeClr w14:val="bg1"/>
                  </w14:solidFill>
                </w14:textFill>
              </w:rPr>
              <w:t>教学过程</w:t>
            </w:r>
          </w:p>
        </w:tc>
        <w:tc>
          <w:tcPr>
            <w:tcW w:w="7479" w:type="dxa"/>
            <w:tcBorders>
              <w:top w:val="double" w:color="00B0F0" w:sz="4" w:space="0"/>
              <w:bottom w:val="double" w:color="00B0F0" w:sz="4" w:space="0"/>
            </w:tcBorders>
            <w:shd w:val="clear" w:color="auto" w:fill="45D6FF"/>
            <w:vAlign w:val="center"/>
          </w:tcPr>
          <w:p w14:paraId="363A838E">
            <w:pPr>
              <w:keepNext w:val="0"/>
              <w:keepLines w:val="0"/>
              <w:suppressLineNumbers w:val="0"/>
              <w:spacing w:before="0" w:beforeAutospacing="0" w:after="0" w:afterAutospacing="0" w:line="264" w:lineRule="auto"/>
              <w:ind w:left="0" w:right="0"/>
              <w:jc w:val="center"/>
              <w:rPr>
                <w:rFonts w:hint="default" w:ascii="Times New Roman" w:hAnsi="Times New Roman"/>
                <w:b/>
                <w:bCs w:val="0"/>
                <w:color w:val="FFFFFF" w:themeColor="background1"/>
                <w:sz w:val="28"/>
                <w:szCs w:val="28"/>
                <w14:textFill>
                  <w14:solidFill>
                    <w14:schemeClr w14:val="bg1"/>
                  </w14:solidFill>
                </w14:textFill>
              </w:rPr>
            </w:pPr>
            <w:r>
              <w:rPr>
                <w:rFonts w:hint="eastAsia" w:ascii="Times New Roman" w:hAnsi="Times New Roman"/>
                <w:b/>
                <w:bCs w:val="0"/>
                <w:color w:val="FFFFFF" w:themeColor="background1"/>
                <w:sz w:val="28"/>
                <w:szCs w:val="28"/>
                <w14:textFill>
                  <w14:solidFill>
                    <w14:schemeClr w14:val="bg1"/>
                  </w14:solidFill>
                </w14:textFill>
              </w:rPr>
              <w:t>主要教学内容及步骤</w:t>
            </w:r>
          </w:p>
        </w:tc>
        <w:tc>
          <w:tcPr>
            <w:tcW w:w="1915" w:type="dxa"/>
            <w:tcBorders>
              <w:top w:val="double" w:color="00B0F0" w:sz="4" w:space="0"/>
              <w:bottom w:val="double" w:color="00B0F0" w:sz="4" w:space="0"/>
            </w:tcBorders>
            <w:shd w:val="clear" w:color="auto" w:fill="45D6FF"/>
            <w:vAlign w:val="center"/>
          </w:tcPr>
          <w:p w14:paraId="783D2F02">
            <w:pPr>
              <w:keepNext w:val="0"/>
              <w:keepLines w:val="0"/>
              <w:suppressLineNumbers w:val="0"/>
              <w:spacing w:before="0" w:beforeAutospacing="0" w:after="0" w:afterAutospacing="0" w:line="264" w:lineRule="auto"/>
              <w:ind w:left="0" w:right="0"/>
              <w:jc w:val="center"/>
              <w:rPr>
                <w:rFonts w:hint="default" w:ascii="Times New Roman" w:hAnsi="Times New Roman"/>
                <w:b/>
                <w:bCs w:val="0"/>
                <w:color w:val="FFFFFF" w:themeColor="background1"/>
                <w:sz w:val="28"/>
                <w:szCs w:val="28"/>
                <w14:textFill>
                  <w14:solidFill>
                    <w14:schemeClr w14:val="bg1"/>
                  </w14:solidFill>
                </w14:textFill>
              </w:rPr>
            </w:pPr>
            <w:r>
              <w:rPr>
                <w:rFonts w:hint="default" w:ascii="Times New Roman" w:hAnsi="Times New Roman"/>
                <w:b/>
                <w:bCs w:val="0"/>
                <w:color w:val="FFFFFF" w:themeColor="background1"/>
                <w:sz w:val="28"/>
                <w:szCs w:val="28"/>
                <w14:textFill>
                  <w14:solidFill>
                    <w14:schemeClr w14:val="bg1"/>
                  </w14:solidFill>
                </w14:textFill>
              </w:rPr>
              <w:t>设计意图</w:t>
            </w:r>
          </w:p>
        </w:tc>
      </w:tr>
      <w:tr w14:paraId="139EDA3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op w:val="double" w:color="00B0F0" w:sz="4" w:space="0"/>
              <w:tl2br w:val="nil"/>
              <w:tr2bl w:val="nil"/>
            </w:tcBorders>
            <w:shd w:val="clear" w:color="auto" w:fill="E5FAFF"/>
            <w:vAlign w:val="center"/>
          </w:tcPr>
          <w:p w14:paraId="63C3C70A">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lang w:eastAsia="zh-CN"/>
              </w:rPr>
            </w:pPr>
            <w:r>
              <w:rPr>
                <w:rFonts w:hint="eastAsia" w:ascii="宋体" w:hAnsi="宋体" w:eastAsia="宋体" w:cs="宋体"/>
                <w:b/>
                <w:sz w:val="28"/>
                <w:szCs w:val="28"/>
                <w:lang w:eastAsia="zh-CN"/>
              </w:rPr>
              <w:t>考勤</w:t>
            </w:r>
          </w:p>
          <w:p w14:paraId="2EA3E6B6">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lang w:eastAsia="zh-CN"/>
              </w:rPr>
            </w:pPr>
            <w:r>
              <w:rPr>
                <w:rFonts w:hint="eastAsia" w:ascii="宋体" w:hAnsi="宋体" w:eastAsia="宋体" w:cs="宋体"/>
                <w:b/>
                <w:sz w:val="28"/>
                <w:szCs w:val="28"/>
                <w:lang w:eastAsia="zh-CN"/>
              </w:rPr>
              <w:t>（</w:t>
            </w:r>
            <w:r>
              <w:rPr>
                <w:rFonts w:hint="eastAsia" w:ascii="宋体" w:hAnsi="宋体" w:eastAsia="宋体" w:cs="宋体"/>
                <w:b/>
                <w:sz w:val="28"/>
                <w:szCs w:val="28"/>
                <w:lang w:val="en-US" w:eastAsia="zh-CN"/>
              </w:rPr>
              <w:t>2min</w:t>
            </w:r>
            <w:r>
              <w:rPr>
                <w:rFonts w:hint="eastAsia" w:ascii="宋体" w:hAnsi="宋体" w:eastAsia="宋体" w:cs="宋体"/>
                <w:b/>
                <w:sz w:val="28"/>
                <w:szCs w:val="28"/>
                <w:lang w:eastAsia="zh-CN"/>
              </w:rPr>
              <w:t>）</w:t>
            </w:r>
          </w:p>
        </w:tc>
        <w:tc>
          <w:tcPr>
            <w:tcW w:w="7479" w:type="dxa"/>
            <w:tcBorders>
              <w:top w:val="double" w:color="00B0F0" w:sz="4" w:space="0"/>
              <w:tl2br w:val="nil"/>
              <w:tr2bl w:val="nil"/>
            </w:tcBorders>
            <w:vAlign w:val="center"/>
          </w:tcPr>
          <w:p w14:paraId="2FBFCC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C34B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915" w:type="dxa"/>
            <w:tcBorders>
              <w:top w:val="double" w:color="00B0F0" w:sz="4" w:space="0"/>
              <w:tl2br w:val="nil"/>
              <w:tr2bl w:val="nil"/>
            </w:tcBorders>
            <w:vAlign w:val="center"/>
          </w:tcPr>
          <w:p w14:paraId="135955D1">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培养学生的组织纪律性,掌握学生的出勤情况</w:t>
            </w:r>
          </w:p>
        </w:tc>
      </w:tr>
      <w:tr w14:paraId="2249B25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BD7CD36">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r>
              <w:rPr>
                <w:rFonts w:hint="eastAsia" w:ascii="宋体" w:hAnsi="宋体" w:eastAsia="宋体" w:cs="宋体"/>
                <w:b/>
                <w:sz w:val="28"/>
                <w:szCs w:val="28"/>
                <w:lang w:eastAsia="zh-CN"/>
              </w:rPr>
              <w:t>知识讲解</w:t>
            </w:r>
          </w:p>
          <w:p w14:paraId="5A3A0D95">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40</w:t>
            </w:r>
            <w:r>
              <w:rPr>
                <w:rFonts w:hint="eastAsia" w:ascii="宋体" w:hAnsi="宋体" w:eastAsia="宋体" w:cs="宋体"/>
                <w:sz w:val="28"/>
                <w:szCs w:val="28"/>
              </w:rPr>
              <w:t>min）</w:t>
            </w:r>
          </w:p>
        </w:tc>
        <w:tc>
          <w:tcPr>
            <w:tcW w:w="7479" w:type="dxa"/>
            <w:tcBorders>
              <w:tl2br w:val="nil"/>
              <w:tr2bl w:val="nil"/>
            </w:tcBorders>
            <w:vAlign w:val="center"/>
          </w:tcPr>
          <w:p w14:paraId="2C9699BA">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展示政策框架与资源整合（</w:t>
            </w:r>
            <w:r>
              <w:rPr>
                <w:rFonts w:hint="eastAsia" w:ascii="Times New Roman" w:hAnsi="Times New Roman"/>
                <w:b w:val="0"/>
                <w:bCs/>
                <w:color w:val="C00000"/>
                <w:sz w:val="24"/>
                <w:szCs w:val="24"/>
                <w:lang w:val="en-US" w:eastAsia="zh-CN"/>
              </w:rPr>
              <w:t>一）</w:t>
            </w:r>
          </w:p>
          <w:p w14:paraId="1AA0A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一、政策框架构建</w:t>
            </w:r>
          </w:p>
          <w:p w14:paraId="0491D8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（一）家园社合作共育与学前教育发展趋势</w:t>
            </w:r>
          </w:p>
          <w:p w14:paraId="14870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color w:val="000000" w:themeColor="text1"/>
                <w:kern w:val="2"/>
                <w:sz w:val="24"/>
                <w:szCs w:val="24"/>
                <w:lang w:bidi="ar-SA"/>
                <w14:textFill>
                  <w14:solidFill>
                    <w14:schemeClr w14:val="tx1"/>
                  </w14:solidFill>
                </w14:textFill>
              </w:rPr>
              <w:t>随着2024年的到来，学前教育领域正在经历一系列深刻的变化和五大显著趋势。首先，教育的形式正在经历一场革命性的转变，从传统的“教学”模式逐渐过渡到“玩学”模式。这种新的教育理念强调在游戏的过程中进行学习，以此来激发孩子们与生俱来的学习兴趣和探索欲望。其次，教育手段也在逐步实现现代化，实物教学正在被数字化教学所取代。通过运用各种科技手段，教育内容和形式得到了极大的丰富，使得学习体验更加生动和互动。第三，教育资源的获取方式正在从有限的本地资源转变为无限的全球资源。在线平台和资源共享的普及，为儿童提供了更为广阔的学习空间，让他们能够接触到更加多元和丰富的知识。第四，职业定位正在从单纯的“职业”向“事业”转变，这反映了学前教育工作者对于自身职业价值和专业发展的更高追求。他们不仅仅满足于完成日常的教学任务，而是致力于将教育工作视为一项长期的、有意义的事业来经营。最后，教育目标也在不断提升，从“幼有所育”提升到“幼有善育”。这意味着教育服务不仅仅满足于基本的教育需求，而是致力于为儿童提供更为优质、全面的教育服务，以培养他们成为具有全面素质的未来公民。</w:t>
            </w:r>
          </w:p>
          <w:p w14:paraId="4D70A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color w:val="000000" w:themeColor="text1"/>
                <w:kern w:val="2"/>
                <w:sz w:val="24"/>
                <w:szCs w:val="24"/>
                <w:lang w:bidi="ar-SA"/>
                <w14:textFill>
                  <w14:solidFill>
                    <w14:schemeClr w14:val="tx1"/>
                  </w14:solidFill>
                </w14:textFill>
              </w:rPr>
              <w:t>随着《中共中央、国务院关于学前教育深化改革规范发展的若干意见》的发布，学前教育被明确为公益普惠的基本方向，并提出了推动学前教育普及普惠安全优质发展的重大举措。这一政策文件的出台，标志着国家对于学前教育领域的改革和发展给予了前所未有的关注和重视。党的二十大报告再次强调了学前教育的“普惠发展”，凸显了国家对“普惠性”学前教育高质量发展的重视。报告中明确指出，要让每个孩子都能享有公平而有质量的教育，这不仅体现了教育公平的理念，也强调了教育质量的重要性。当前，随着普惠性学前教育资源供给的增加，人力、财力、物力等保障机制逐步完善，幼儿园保教质量得到全面提升，人民群众的幸福感和获得感显著增强。这些积极的变化，不仅提升了学前教育的整体水平，也为孩子们的健康成长和全面发展奠定了坚实的基础。</w:t>
            </w:r>
            <w:r>
              <w:rPr>
                <w:rFonts w:hint="default" w:ascii="Times New Roman" w:hAnsi="Times New Roman"/>
                <w:b w:val="0"/>
                <w:bCs/>
                <w:color w:val="000000" w:themeColor="text1"/>
                <w:sz w:val="24"/>
                <w:szCs w:val="24"/>
                <w:lang w:val="en-US" w:eastAsia="zh-CN"/>
                <w14:textFill>
                  <w14:solidFill>
                    <w14:schemeClr w14:val="tx1"/>
                  </w14:solidFill>
                </w14:textFill>
              </w:rPr>
              <w:t>而“普惠优质”已成为学前教育高质量发展的时代强音，它要求我们以政府责任落实、分层差异弥合、科学保教贯彻和幼儿园保教质量全面提升为前提，切实遵循学前教育规律和幼儿身心发展规律，共同推动学前教育事业的高质量发展。</w:t>
            </w:r>
          </w:p>
          <w:p w14:paraId="564D5E1B">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2F2E44E7">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lang w:val="en-US" w:eastAsia="zh-CN"/>
              </w:rPr>
              <w:t>展示政策框架与资源整合（一）</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让学生更加仔细的阅读，从而</w:t>
            </w:r>
            <w:r>
              <w:rPr>
                <w:rFonts w:hint="eastAsia" w:ascii="Times New Roman" w:hAnsi="Times New Roman"/>
                <w:b w:val="0"/>
                <w:bCs w:val="0"/>
                <w:sz w:val="24"/>
                <w:szCs w:val="24"/>
              </w:rPr>
              <w:t>激发学生的学习欲望。</w:t>
            </w:r>
          </w:p>
        </w:tc>
      </w:tr>
      <w:tr w14:paraId="57E81E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5533C1CA">
            <w:pPr>
              <w:keepNext w:val="0"/>
              <w:keepLines w:val="0"/>
              <w:suppressLineNumbers w:val="0"/>
              <w:spacing w:before="0" w:beforeAutospacing="0" w:after="0" w:afterAutospacing="0" w:line="240" w:lineRule="auto"/>
              <w:ind w:left="0" w:right="0" w:hanging="8"/>
              <w:jc w:val="center"/>
              <w:rPr>
                <w:rFonts w:hint="eastAsia" w:ascii="宋体" w:hAnsi="宋体" w:eastAsia="宋体" w:cs="宋体"/>
                <w:sz w:val="28"/>
                <w:szCs w:val="28"/>
              </w:rPr>
            </w:pPr>
            <w:r>
              <w:rPr>
                <w:rFonts w:hint="eastAsia" w:ascii="宋体" w:hAnsi="宋体" w:eastAsia="宋体" w:cs="宋体"/>
                <w:b/>
                <w:sz w:val="28"/>
                <w:szCs w:val="28"/>
                <w:lang w:eastAsia="zh-CN"/>
              </w:rPr>
              <w:t>作业布置</w:t>
            </w:r>
            <w:r>
              <w:rPr>
                <w:rFonts w:hint="eastAsia" w:ascii="宋体" w:hAnsi="宋体" w:eastAsia="宋体" w:cs="宋体"/>
                <w:b w:val="0"/>
                <w:bCs w:val="0"/>
                <w:sz w:val="28"/>
                <w:szCs w:val="28"/>
              </w:rPr>
              <w:t>（</w:t>
            </w:r>
            <w:r>
              <w:rPr>
                <w:rFonts w:hint="eastAsia" w:ascii="宋体" w:hAnsi="宋体" w:eastAsia="宋体" w:cs="宋体"/>
                <w:b w:val="0"/>
                <w:bCs w:val="0"/>
                <w:sz w:val="28"/>
                <w:szCs w:val="28"/>
                <w:lang w:val="en-US" w:eastAsia="zh-CN"/>
              </w:rPr>
              <w:t>3</w:t>
            </w:r>
            <w:r>
              <w:rPr>
                <w:rFonts w:hint="eastAsia" w:ascii="宋体" w:hAnsi="宋体" w:eastAsia="宋体" w:cs="宋体"/>
                <w:b w:val="0"/>
                <w:bCs w:val="0"/>
                <w:sz w:val="28"/>
                <w:szCs w:val="28"/>
              </w:rPr>
              <w:t>min）</w:t>
            </w:r>
          </w:p>
        </w:tc>
        <w:tc>
          <w:tcPr>
            <w:tcW w:w="7479" w:type="dxa"/>
            <w:tcBorders>
              <w:tl2br w:val="nil"/>
              <w:tr2bl w:val="nil"/>
            </w:tcBorders>
            <w:vAlign w:val="center"/>
          </w:tcPr>
          <w:p w14:paraId="059C621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3D37254C">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简述</w:t>
            </w:r>
            <w:r>
              <w:rPr>
                <w:rFonts w:hint="eastAsia" w:hAnsi="宋体"/>
                <w:bCs/>
                <w:sz w:val="24"/>
                <w:szCs w:val="24"/>
                <w:lang w:eastAsia="zh-CN"/>
              </w:rPr>
              <w:t>家园社合作共育与学前教育发展趋势。</w:t>
            </w:r>
          </w:p>
        </w:tc>
        <w:tc>
          <w:tcPr>
            <w:tcW w:w="1915" w:type="dxa"/>
            <w:tcBorders>
              <w:tl2br w:val="nil"/>
              <w:tr2bl w:val="nil"/>
            </w:tcBorders>
            <w:vAlign w:val="center"/>
          </w:tcPr>
          <w:p w14:paraId="6948B61A">
            <w:pPr>
              <w:keepNext w:val="0"/>
              <w:keepLines w:val="0"/>
              <w:suppressLineNumbers w:val="0"/>
              <w:spacing w:before="0" w:beforeAutospacing="0" w:after="0" w:afterAutospacing="0" w:line="360" w:lineRule="auto"/>
              <w:ind w:left="0" w:right="0"/>
              <w:jc w:val="both"/>
              <w:rPr>
                <w:rFonts w:hint="eastAsia" w:ascii="Times New Roman" w:hAnsi="Times New Roman"/>
                <w:b w:val="0"/>
                <w:bCs/>
                <w:sz w:val="24"/>
                <w:szCs w:val="24"/>
              </w:rPr>
            </w:pPr>
            <w:r>
              <w:rPr>
                <w:rFonts w:hint="eastAsia" w:ascii="Times New Roman" w:hAnsi="Times New Roman"/>
                <w:b w:val="0"/>
                <w:bCs/>
                <w:sz w:val="24"/>
                <w:szCs w:val="24"/>
              </w:rPr>
              <w:t>通过课后练习，使学生巩固所学新知识</w:t>
            </w:r>
          </w:p>
        </w:tc>
      </w:tr>
      <w:tr w14:paraId="5BF7E08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662122D">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r>
              <w:rPr>
                <w:rFonts w:hint="eastAsia" w:ascii="宋体" w:hAnsi="宋体" w:eastAsia="宋体" w:cs="宋体"/>
                <w:b/>
                <w:sz w:val="28"/>
                <w:szCs w:val="28"/>
                <w:lang w:eastAsia="zh-CN"/>
              </w:rPr>
              <w:t>知识讲解</w:t>
            </w:r>
          </w:p>
          <w:p w14:paraId="51BD39BB">
            <w:pPr>
              <w:keepNext w:val="0"/>
              <w:keepLines w:val="0"/>
              <w:suppressLineNumbers w:val="0"/>
              <w:spacing w:before="0" w:beforeAutospacing="0" w:after="0" w:afterAutospacing="0" w:line="240" w:lineRule="auto"/>
              <w:ind w:left="0" w:right="0" w:hanging="8"/>
              <w:jc w:val="center"/>
              <w:rPr>
                <w:rFonts w:hint="eastAsia" w:ascii="宋体" w:hAnsi="宋体" w:eastAsia="宋体" w:cs="宋体"/>
                <w:b/>
                <w:sz w:val="28"/>
                <w:szCs w:val="28"/>
              </w:rPr>
            </w:pPr>
            <w:r>
              <w:rPr>
                <w:rFonts w:hint="eastAsia" w:ascii="宋体" w:hAnsi="宋体" w:eastAsia="宋体" w:cs="宋体"/>
                <w:sz w:val="28"/>
                <w:szCs w:val="28"/>
              </w:rPr>
              <w:t>（40min）</w:t>
            </w:r>
          </w:p>
        </w:tc>
        <w:tc>
          <w:tcPr>
            <w:tcW w:w="7479" w:type="dxa"/>
            <w:tcBorders>
              <w:tl2br w:val="nil"/>
              <w:tr2bl w:val="nil"/>
            </w:tcBorders>
            <w:vAlign w:val="center"/>
          </w:tcPr>
          <w:p w14:paraId="159D3C9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展示政策框架与资源整合（</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28C354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（二）坚持公平、普惠、优质的发展理念</w:t>
            </w:r>
          </w:p>
          <w:p w14:paraId="023BE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2024 年 11 月 4 日，《中华人民共和国学前教育法（草案）》第三次提交审议，共 9 章 85 条，旨在明确学前教育定位，补齐教育短板，健全规划举办机制，规范学前教育实施，提高保教质量，加强队伍建设，完善投入与监管机制。党中央、国务院高度重视学前教育，强调普惠发展，确保每个孩子享有公平而有质量的教育。尽管近年来学前教育取得显著成就，但仍是国民教育体系的薄弱环节。为贯彻党中央、国务院决策部署，保障和促进学前教育发展，制定学前教育法成为必要之举。此举旨在通过法治手段，确保学前教育的普及、普惠、安全、优质发展。</w:t>
            </w:r>
          </w:p>
          <w:p w14:paraId="0768D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习近平总书记强调推进学前教育普及普惠安全优质发展，为立法提供了方向。草案明确政府主导，大力发展普惠性学前教育资源，引导并规范社会力量参与。地方上，如上海、江苏、山东、浙江和深圳等地，通过立法和政策支持，在学前教育领域取得显著成效。上海整合学前教育与托育服务，江苏增加财政投入，山东加强教师队伍建设，浙江关注弱势群体保障，深圳则突出普惠性学前教育，通过立法确保每个孩子都能享有公平而有质量的教育。这些实践为国家层面学前教育立法提供了重要参考。</w:t>
            </w:r>
          </w:p>
          <w:p w14:paraId="0AF29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这些地方实践中，各地结合自身实际情况探索出多样化的路径。例如，上海通过建立一体化的管理机制，将学前教育与托育服务有机结合，形成了覆盖全年龄段的服务体系。江苏则注重从财政保障入手，大幅增加对学前教育的资金支持，确保普惠性幼儿园的可持续发展。山东聚焦教师这一关键因素，通过提高待遇、完善培训体系等措施，吸引和留住优秀人才。浙江特别关注弱势群体的需求，在政策设计上倾斜资源，为特殊儿童和流动人口子女提供更有针对性的支持。深圳以立法为抓手，明确政府责任和社会参与的具体方式，推动普惠性学前教育资源的均衡布局。这些地方经验不仅体现了因地制宜的特点，也为全国范围内的学前教育改革提供了可借鉴的模式，进一步彰显了法治引领的重要意义。</w:t>
            </w:r>
          </w:p>
          <w:p w14:paraId="7CCD8C12">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1CF9D9CE">
            <w:pPr>
              <w:keepNext w:val="0"/>
              <w:keepLines w:val="0"/>
              <w:suppressLineNumbers w:val="0"/>
              <w:spacing w:before="0" w:beforeAutospacing="0" w:after="0" w:afterAutospacing="0" w:line="360" w:lineRule="auto"/>
              <w:ind w:left="0" w:right="0"/>
              <w:jc w:val="both"/>
              <w:rPr>
                <w:rFonts w:hint="default" w:ascii="Times New Roman" w:hAnsi="Times New Roman"/>
                <w:b w:val="0"/>
                <w:bCs/>
                <w:sz w:val="24"/>
                <w:szCs w:val="24"/>
              </w:rPr>
            </w:pPr>
            <w:r>
              <w:rPr>
                <w:rFonts w:hint="eastAsia" w:ascii="Times New Roman" w:hAnsi="Times New Roman"/>
                <w:b w:val="0"/>
                <w:bCs/>
                <w:sz w:val="24"/>
                <w:szCs w:val="24"/>
              </w:rPr>
              <w:t>通过教师讲解，了解</w:t>
            </w:r>
            <w:r>
              <w:rPr>
                <w:rFonts w:hint="eastAsia" w:ascii="Times New Roman" w:hAnsi="Times New Roman"/>
                <w:b w:val="0"/>
                <w:bCs/>
                <w:sz w:val="24"/>
                <w:szCs w:val="24"/>
                <w:lang w:val="en-US" w:eastAsia="zh-CN"/>
              </w:rPr>
              <w:t>政策框架与资源整合（二）的基本理论知</w:t>
            </w:r>
            <w:r>
              <w:rPr>
                <w:rFonts w:hint="eastAsia" w:ascii="Times New Roman" w:hAnsi="Times New Roman"/>
                <w:b w:val="0"/>
                <w:bCs/>
                <w:sz w:val="24"/>
                <w:szCs w:val="24"/>
              </w:rPr>
              <w:t>识。</w:t>
            </w:r>
          </w:p>
        </w:tc>
      </w:tr>
      <w:tr w14:paraId="444AA6C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74442123">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1B5CAD9B">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503F4A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EA9996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政策框架与资源整合</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二</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，让学生知道坚持公平、普惠、优质的发展理念</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48B3F4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525F0F1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4CE2D65">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（2min）</w:t>
            </w:r>
          </w:p>
        </w:tc>
        <w:tc>
          <w:tcPr>
            <w:tcW w:w="7479" w:type="dxa"/>
            <w:tcBorders>
              <w:tl2br w:val="nil"/>
              <w:tr2bl w:val="nil"/>
            </w:tcBorders>
            <w:vAlign w:val="center"/>
          </w:tcPr>
          <w:p w14:paraId="687DF0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DDE579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w:t>
            </w:r>
            <w:r>
              <w:rPr>
                <w:rFonts w:hint="eastAsia" w:ascii="宋体" w:hAnsi="宋体" w:cs="宋体"/>
                <w:b/>
                <w:bCs w:val="0"/>
                <w:kern w:val="2"/>
                <w:sz w:val="24"/>
                <w:szCs w:val="24"/>
                <w:lang w:val="en-US" w:eastAsia="zh-CN" w:bidi="ar"/>
              </w:rPr>
              <w:t>坚持公平、普惠、优质的发展理念的路径</w:t>
            </w:r>
            <w:r>
              <w:rPr>
                <w:rFonts w:hint="eastAsia" w:ascii="宋体" w:hAnsi="宋体" w:cs="宋体"/>
                <w:bCs/>
                <w:kern w:val="2"/>
                <w:sz w:val="24"/>
                <w:szCs w:val="24"/>
                <w:lang w:val="en-US" w:eastAsia="zh-CN" w:bidi="ar"/>
              </w:rPr>
              <w:t>。</w:t>
            </w:r>
          </w:p>
        </w:tc>
        <w:tc>
          <w:tcPr>
            <w:tcW w:w="1915" w:type="dxa"/>
            <w:tcBorders>
              <w:tl2br w:val="nil"/>
              <w:tr2bl w:val="nil"/>
            </w:tcBorders>
            <w:vAlign w:val="center"/>
          </w:tcPr>
          <w:p w14:paraId="39C41B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534C0AA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806D060">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107AEA0F">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展示政策框架与资源整合（</w:t>
            </w:r>
            <w:r>
              <w:rPr>
                <w:rFonts w:hint="eastAsia" w:ascii="宋体" w:hAnsi="宋体" w:cs="宋体"/>
                <w:b w:val="0"/>
                <w:bCs/>
                <w:color w:val="C00000"/>
                <w:kern w:val="2"/>
                <w:sz w:val="24"/>
                <w:szCs w:val="24"/>
                <w:lang w:val="en-US" w:eastAsia="zh-CN" w:bidi="ar"/>
              </w:rPr>
              <w:t>三）</w:t>
            </w:r>
          </w:p>
          <w:p w14:paraId="0DD28B6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bidi="ar"/>
              </w:rPr>
            </w:pPr>
            <w:r>
              <w:rPr>
                <w:rFonts w:hint="default" w:ascii="宋体" w:hAnsi="宋体" w:eastAsia="宋体" w:cs="宋体"/>
                <w:b/>
                <w:bCs w:val="0"/>
                <w:color w:val="000000"/>
                <w:kern w:val="2"/>
                <w:sz w:val="24"/>
                <w:szCs w:val="24"/>
                <w:lang w:bidi="ar"/>
              </w:rPr>
              <w:t>（三）建立健全监管体系和评估机制，确保政策落实</w:t>
            </w:r>
          </w:p>
          <w:p w14:paraId="2DD5F80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为了切实推进幼儿园、家庭、社区三方协同共育的深入发展，需要建立健全一套监管体系和评估机制，确保相关政策的有效落实。</w:t>
            </w:r>
          </w:p>
          <w:p w14:paraId="2C1A844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1. 监管体系的建设</w:t>
            </w:r>
          </w:p>
          <w:p w14:paraId="0BF82CA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（1）明确监管责任：各级政府应明确对家园社合作共育工作的监管责任，设立专门监管机构或部门，负责监督、指导和协调各方工作。</w:t>
            </w:r>
          </w:p>
          <w:p w14:paraId="3C62880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（2）制定监管标准：制定具体的监管标准和指标体系，包括协同共育的参与程度、资源共享情况、教育效果等方面，确保各项工作有章可循。</w:t>
            </w:r>
          </w:p>
          <w:p w14:paraId="278C9B8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（3）实施定期评估：定期对家园社合作共育工作进行评估，发现问题及时整改，确保政策得到有效执行。</w:t>
            </w:r>
          </w:p>
          <w:p w14:paraId="1632EDA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2. 评估机制的完善</w:t>
            </w:r>
          </w:p>
          <w:p w14:paraId="3DADC69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（1）设立评估机构：成立由教育专家、社区代表、家长代表等组成的评估机构，负责对家园社合作共育工作进行客观、公正的评估。</w:t>
            </w:r>
          </w:p>
          <w:p w14:paraId="1FCE223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（2）制定评估方案：结合实际情况，制定科学合理的评估方案，明确评估的目标、内容、方法和步骤。</w:t>
            </w:r>
          </w:p>
          <w:p w14:paraId="2D23DBD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（3）实施多元评估：采用问卷调查、访谈、观察等多种方式，收集各方意见和建议，形成全面、客观的评估结果。</w:t>
            </w:r>
          </w:p>
          <w:p w14:paraId="43389C4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3. 确保政策落实的措施</w:t>
            </w:r>
          </w:p>
          <w:p w14:paraId="1C7457D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（1）强化政策宣传：加大对家园社合作共育政策的宣传力度，提高社会各界对政策的认识和理解，形成广泛共识。</w:t>
            </w:r>
          </w:p>
          <w:p w14:paraId="326D143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（2）加强培训指导：针对幼儿园、家庭、社区三方人员，开展有针对性的培训指导，提高其参与协同共育的能力和水平。</w:t>
            </w:r>
          </w:p>
          <w:p w14:paraId="4707ED2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（3）建立激励机制：对在协同共育工作中表现突出的幼儿园、家庭、社区给予表彰和奖励，激发其积极性和创造力。</w:t>
            </w:r>
          </w:p>
          <w:p w14:paraId="64151E8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bidi="ar"/>
              </w:rPr>
            </w:pPr>
            <w:r>
              <w:rPr>
                <w:rFonts w:hint="default" w:ascii="宋体" w:hAnsi="宋体" w:eastAsia="宋体" w:cs="宋体"/>
                <w:b w:val="0"/>
                <w:bCs/>
                <w:color w:val="000000"/>
                <w:kern w:val="2"/>
                <w:sz w:val="24"/>
                <w:szCs w:val="24"/>
                <w:lang w:bidi="ar"/>
              </w:rPr>
              <w:t>（4）加强监督检查：建立健全监督检查机制，对政策执行情况进行定期或不定期的监督检查，确保政策得到有效执行。</w:t>
            </w:r>
          </w:p>
          <w:p w14:paraId="7E98808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通过建立健全的监管体系和评估机制，我们能够确保家园社合作共育政策得到充分而有效的落实。这样的措施将有助于促进幼儿园、家庭、社区三方之间的协同共育，实现更深层次的合作与发展。通过这种全面的共同努力，我们可以为幼儿的健康成长提供一个坚实而有力的保障，确保每个孩子都能在一个充满爱与关怀的环境中茁壮成长。</w:t>
            </w:r>
          </w:p>
          <w:p w14:paraId="26221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024C5AD1">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展示政策框架与资源整合（</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政策框架与资源整合</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rPr>
              <w:t>）的基本理论知识。</w:t>
            </w:r>
          </w:p>
        </w:tc>
      </w:tr>
      <w:tr w14:paraId="4920A42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15CFFDC">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19F464ED">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39DFC5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8A543DF">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政策框架与资源整合</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三</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，让学生了解建立健全监管体系和评估机制，确保政策落实</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1E0172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2CBB0A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0BF90FD5">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45EBF7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110B34D">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简述建立健全监管体系和评估机制的方法。</w:t>
            </w:r>
          </w:p>
        </w:tc>
        <w:tc>
          <w:tcPr>
            <w:tcW w:w="1915" w:type="dxa"/>
            <w:tcBorders>
              <w:tl2br w:val="nil"/>
              <w:tr2bl w:val="nil"/>
            </w:tcBorders>
            <w:vAlign w:val="center"/>
          </w:tcPr>
          <w:p w14:paraId="6F044B0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596B63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9110578">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38B7301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展示政策框架与资源整合（</w:t>
            </w:r>
            <w:r>
              <w:rPr>
                <w:rFonts w:hint="eastAsia" w:ascii="宋体" w:hAnsi="宋体" w:cs="宋体"/>
                <w:b w:val="0"/>
                <w:bCs/>
                <w:color w:val="C00000"/>
                <w:kern w:val="2"/>
                <w:sz w:val="24"/>
                <w:szCs w:val="24"/>
                <w:lang w:val="en-US" w:eastAsia="zh-CN" w:bidi="ar"/>
              </w:rPr>
              <w:t>四</w:t>
            </w:r>
            <w:r>
              <w:rPr>
                <w:rFonts w:hint="eastAsia" w:ascii="宋体" w:hAnsi="宋体" w:eastAsia="宋体" w:cs="宋体"/>
                <w:b w:val="0"/>
                <w:bCs/>
                <w:color w:val="C00000"/>
                <w:kern w:val="2"/>
                <w:sz w:val="24"/>
                <w:szCs w:val="24"/>
                <w:lang w:val="en-US" w:eastAsia="zh-CN" w:bidi="ar"/>
              </w:rPr>
              <w:t>）</w:t>
            </w:r>
          </w:p>
          <w:p w14:paraId="651CF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二、资源整合策略</w:t>
            </w:r>
          </w:p>
          <w:p w14:paraId="5743C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（一）梳理现有资源，包括政府、社会、家庭三方面的资源</w:t>
            </w:r>
          </w:p>
          <w:p w14:paraId="5CD1E8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家园社合作共育的核心问题之一在于有效地梳理和整合政府、社会、家庭三方面的资源，以确保为儿童提供一个全面、协调、可持续的教育环境。以下是对这三方面资源的梳理与探讨。</w:t>
            </w:r>
          </w:p>
          <w:p w14:paraId="7BB692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1）政府作为教育事业的推动者和主导者，拥有丰富的政策和财政资源。在家园社合作共育中，政府应当发挥其积极的作用，通过制定相关政策、提供资金支持等方式，促进幼儿园、家庭、社区之间的紧密联系与合作。例如，政府可以设立专项资金，用于支持家园社合作共育项目的开展，或者通过购买服务的方式，引入专业机构为儿童提供多元化的教育资源。此外，政府还可以通过立法手段，确保家园社合作共育的顺利进行，比如制定相关法律法规，明确各方的责任和义务，为合作共育提供法律保障。同时，政府可以利用其在信息传播方面的优势，通过媒体和网络平台，广泛宣传家园社合作共育的重要性和益处，提高公众的认识和参与度。通过这些措施，政府能够有效地推动家园社合作共育的发展，为儿童的成长创造更加有利的环境。</w:t>
            </w:r>
          </w:p>
          <w:p w14:paraId="33A5D0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2）社会资源在家园社合作共育中扮演着至关重要的角色。社区不仅是儿童成长的摇篮，而且它还蕴藏着大量的文化、教育资源以及娱乐设施。通过有效地整合和利用这些社区资源，我们能够为儿童们提供更加多样化和富有成效的学习机会以及实践活动，从而帮助他们拓展视野，丰富知识结构。举例来说，社区内的图书馆、博物馆、科技馆等场所，它们不仅为儿童们提供了大量的阅读材料和学习资源，还能够激发他们对知识的渴望和探索的兴趣。除此之外，社区组织的各种文化活动、志愿服务等项目，也为儿童们提供了参与社会实践的宝贵机会，使他们能够在实践中学习，在学习中成长，进而培养他们的社会责任感和公民意识。</w:t>
            </w:r>
          </w:p>
          <w:p w14:paraId="10D1C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3）家庭作为儿童成长的第一所学校，其资源的重要性是显而易见的。家庭中的亲子关系、家庭氛围、家庭教育方式等都会对儿童产生深远的影响。因此，在家园社合作共育中，家庭应当积极参与，与幼儿园、社区共同为儿童营造一个良好的成长环境。家长可以通过参与家长会、家长学校等活动，提升育儿知识和技能；同时，也可以通过参与社区活动、志愿服务等方式，为儿童树立榜样，传递正能量。此外，家庭还应该注重培养儿童的独立性、创造力和社交能力，通过家庭游戏、阅读时间、户外探险等活动，让儿童在实践中学习和成长。家长的参与不仅限于学校和社区，更应该延伸到家庭生活的方方面面，通过日常的互动和沟通，了解儿童的需求和兴趣，从而提供更加个性化的支持和引导。</w:t>
            </w:r>
          </w:p>
          <w:p w14:paraId="4D892E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综上所述，家园社合作共育需要政府、社会、家庭三方面的共同努力和协作。只有通过有效地梳理和整合这三方面的资源，才能为儿童提供一个全面、协调、可持续的教育环境，促进他们的健康成长和全面发展。</w:t>
            </w:r>
          </w:p>
          <w:p w14:paraId="00219C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p w14:paraId="5BC0B7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p>
          <w:p w14:paraId="228026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p>
        </w:tc>
        <w:tc>
          <w:tcPr>
            <w:tcW w:w="1915" w:type="dxa"/>
            <w:tcBorders>
              <w:tl2br w:val="nil"/>
              <w:tr2bl w:val="nil"/>
            </w:tcBorders>
            <w:vAlign w:val="center"/>
          </w:tcPr>
          <w:p w14:paraId="3700624E">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展示政策框架与资源整合（</w:t>
            </w:r>
            <w:r>
              <w:rPr>
                <w:rFonts w:hint="eastAsia" w:ascii="Times New Roman" w:hAnsi="Times New Roman"/>
                <w:b w:val="0"/>
                <w:bCs w:val="0"/>
                <w:sz w:val="24"/>
                <w:szCs w:val="24"/>
                <w:lang w:val="en-US" w:eastAsia="zh-CN"/>
              </w:rPr>
              <w:t>四</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政策框架与资源整合</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四</w:t>
            </w:r>
            <w:r>
              <w:rPr>
                <w:rFonts w:hint="eastAsia" w:ascii="Times New Roman" w:hAnsi="Times New Roman"/>
                <w:b w:val="0"/>
                <w:bCs w:val="0"/>
                <w:sz w:val="24"/>
                <w:szCs w:val="24"/>
              </w:rPr>
              <w:t>）的基本理论知识。</w:t>
            </w:r>
          </w:p>
        </w:tc>
      </w:tr>
      <w:tr w14:paraId="1B3FC1C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22E6AE2">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03C1D58E">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5A1EA50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D9851AB">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政策框架与资源整合</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四</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，让学生梳理现有资源，包括政府、社会、家庭三方面的资源</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23D3A4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73BD31F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2BE08D5">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31E46C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7A36D088">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简述家园社合作共育资源</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7F3AA78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6338DAB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6A92C504">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58EAE68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展示政策框架与资源整合（</w:t>
            </w:r>
            <w:r>
              <w:rPr>
                <w:rFonts w:hint="eastAsia" w:ascii="宋体" w:hAnsi="宋体" w:cs="宋体"/>
                <w:b w:val="0"/>
                <w:bCs/>
                <w:color w:val="C00000"/>
                <w:kern w:val="2"/>
                <w:sz w:val="24"/>
                <w:szCs w:val="24"/>
                <w:lang w:val="en-US" w:eastAsia="zh-CN" w:bidi="ar"/>
              </w:rPr>
              <w:t>五</w:t>
            </w:r>
            <w:r>
              <w:rPr>
                <w:rFonts w:hint="eastAsia" w:ascii="宋体" w:hAnsi="宋体" w:eastAsia="宋体" w:cs="宋体"/>
                <w:b w:val="0"/>
                <w:bCs/>
                <w:color w:val="C00000"/>
                <w:kern w:val="2"/>
                <w:sz w:val="24"/>
                <w:szCs w:val="24"/>
                <w:lang w:val="en-US" w:eastAsia="zh-CN" w:bidi="ar"/>
              </w:rPr>
              <w:t>）</w:t>
            </w:r>
          </w:p>
          <w:p w14:paraId="28E65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（二）建立资源整合平台，实现信息共享和资源整合</w:t>
            </w:r>
          </w:p>
          <w:p w14:paraId="1F81B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推进家园社合作共育的过程中，建立资源整合平台，实现信息共享和资源整合，是提升教育效果、优化资源配置的关键举措。这样的平台不仅能够汇聚政府、社区、家庭三方的资源，还能够促进各方之间的有效沟通和协作。</w:t>
            </w:r>
          </w:p>
          <w:p w14:paraId="36455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资源整合平台需要构建一个全面、系统的信息库。这个平台应当能够收录政府的教育政策、社区的教育资源、家庭的教育需求等多方面的信息。通过信息库的建设，各方可以更加清晰地了解彼此的需求和资源，为后续的资源共享和整合提供基础。</w:t>
            </w:r>
          </w:p>
          <w:p w14:paraId="5BA34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资源整合平台需要搭建一个高效、便捷的信息共享机制。信息共享是资源整合的前提，只有各方都能够及时、准确地获取到所需的信息，才能够有效地进行资源整合。因此，平台需要提供一个用户友好的界面，让各方能够方便地搜索、浏览和下载相关信息。同时，平台还需要建立一个反馈机制，让各方能够及时将最新的信息和资源更新到平台上，保持信息的时效性和准确性。</w:t>
            </w:r>
          </w:p>
          <w:p w14:paraId="08C24B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信息共享的基础上，平台还需要实现资源的有效整合。资源整合不仅仅是简单的信息堆砌，而是需要根据各方的需求和资源特点，进行有针对性的整合和配置。例如，平台可以根据社区的资源优势和家庭的教育需求，设计一些有针对性的教育项目或活动，让儿童能够在实践中学习和成长。同时，平台还可以根据幼儿园的教学计划和家庭的教育需求，为儿童提供个性化的学习资源和辅导服务。</w:t>
            </w:r>
          </w:p>
          <w:p w14:paraId="1C20B8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资源整合平台还需要建立一个协作机制，促进各方之间的有效沟通和协作。这个机制可以包括线上和线下的交流渠道，让各方能够随时随地进行沟通和交流。通过协作机制的建立，各方可以共同制定教育计划、设计教育项目、组织教育活动等，形成合力，共同推动家园社合作共育的发展。</w:t>
            </w:r>
          </w:p>
          <w:p w14:paraId="39818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（三）鼓励社会组织和企业参与家园社合作共育，发挥其在资源整合中的积极作用</w:t>
            </w:r>
          </w:p>
          <w:p w14:paraId="17D44D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推进家园社合作共育的过程中，社会组织和企业作为重要的社会力量，其参与和贡献不容忽视。鼓励社会组织和企业积极参与家园社合作共育，不仅可以为资源整合提供更多的可能性，还能进一步丰富教育资源，促进教育的多元化发展。</w:t>
            </w:r>
          </w:p>
          <w:p w14:paraId="668F2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社会组织通常拥有丰富的教育资源和服务经验。这些组织通常致力于某一特定领域的教育或服务，具有深厚的专业背景和广泛的社会影响力。鼓励这些组织参与家园社合作共育，可以将它们的专业知识、经验和资源引入到教育过程中，为儿童提供更全面、更专业的教育服务。</w:t>
            </w:r>
          </w:p>
          <w:p w14:paraId="314EDD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企业作为社会经济的主体，拥有大量的资金和人才资源。企业的参与不仅可以为家园社合作共育提供物质支持，还可以通过组织志愿者活动、设立奖学金等方式，激发更多人对教育的关注和支持。此外，企业还可以与学校、社区合作，共同开发教育课程、建设教育资源库等，为儿童提供更多元化的学习机会。</w:t>
            </w:r>
          </w:p>
          <w:p w14:paraId="3D853B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鼓励社会组织和企业参与家园社合作共育的过程中，我们需要建立一个有效的合作机制。这个机制应该包括明确的合作目标、具体的合作内容和方式，以及合理的利益分配机制。通过合作机制的建立，我们可以确保各方在参与过程中能够充分发挥自己的优势，实现资源共享和优势互补。</w:t>
            </w:r>
          </w:p>
          <w:p w14:paraId="62F4E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我们还需要加强对社会组织和企业参与家园社合作共育的监管和评估。这包括对参与方的资质、能力、信誉等方面的审核和评估，以及对合作项目的过程和结果进行监督和评估。通过监管和评估的加强，我们可以确保合作项目的顺利实施，同时避免可能出现的风险和问题。</w:t>
            </w:r>
          </w:p>
          <w:p w14:paraId="05D70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鼓励社会组织和企业参与家园社合作共育是一个具有积极意义的举措。通过发挥社会组织和企业在资源整合中的积极作用，我们可以为儿童提供更多元化、更高质量的教育资源和服务，促进儿童的全面发展和健康成长。</w:t>
            </w:r>
          </w:p>
          <w:p w14:paraId="412FF4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4C84F5AE">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展示政策框架与资源整合（</w:t>
            </w:r>
            <w:r>
              <w:rPr>
                <w:rFonts w:hint="eastAsia" w:ascii="Times New Roman" w:hAnsi="Times New Roman"/>
                <w:b w:val="0"/>
                <w:bCs w:val="0"/>
                <w:sz w:val="24"/>
                <w:szCs w:val="24"/>
                <w:lang w:val="en-US" w:eastAsia="zh-CN"/>
              </w:rPr>
              <w:t>五</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政策框架与资源整合</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五</w:t>
            </w:r>
            <w:r>
              <w:rPr>
                <w:rFonts w:hint="eastAsia" w:ascii="Times New Roman" w:hAnsi="Times New Roman"/>
                <w:b w:val="0"/>
                <w:bCs w:val="0"/>
                <w:sz w:val="24"/>
                <w:szCs w:val="24"/>
              </w:rPr>
              <w:t>）的基本理论知识。</w:t>
            </w:r>
          </w:p>
        </w:tc>
      </w:tr>
      <w:tr w14:paraId="6B29F91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90164E8">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31A81363">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5A30E23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23A8BE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政策框架与资源整合</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五</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，让学生了解建立资源整合平台，实现信息共享和资源整合、鼓励社会组织和企业参与家园社合作共育，发挥其在资源整合中的积极作用</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34C1B0C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277A3BA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7468248">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33997DA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4955E2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简述鼓励社会组织和企业参与家园社合作共育的路径</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1EF667C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16AEB09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7AD215FC">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1C4EF669">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640E6B45">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31529745">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7C6800CB">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61B808C3">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00D585FB">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4146B96F">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0821A24D">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672A1B8F">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7613764D">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682B27EB">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lang w:eastAsia="zh-CN"/>
              </w:rPr>
            </w:pPr>
          </w:p>
          <w:p w14:paraId="46B8B2DB">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0C97DAC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展示家园社合作共育的模式和路径（</w:t>
            </w:r>
            <w:r>
              <w:rPr>
                <w:rFonts w:hint="eastAsia" w:ascii="宋体" w:hAnsi="宋体" w:cs="宋体"/>
                <w:b w:val="0"/>
                <w:bCs/>
                <w:color w:val="C00000"/>
                <w:kern w:val="2"/>
                <w:sz w:val="24"/>
                <w:szCs w:val="24"/>
                <w:lang w:val="en-US" w:eastAsia="zh-CN" w:bidi="ar"/>
              </w:rPr>
              <w:t>一</w:t>
            </w:r>
            <w:r>
              <w:rPr>
                <w:rFonts w:hint="eastAsia" w:ascii="宋体" w:hAnsi="宋体" w:eastAsia="宋体" w:cs="宋体"/>
                <w:b w:val="0"/>
                <w:bCs/>
                <w:color w:val="C00000"/>
                <w:kern w:val="2"/>
                <w:sz w:val="24"/>
                <w:szCs w:val="24"/>
                <w:lang w:val="en-US" w:eastAsia="zh-CN" w:bidi="ar"/>
              </w:rPr>
              <w:t>）</w:t>
            </w:r>
          </w:p>
          <w:p w14:paraId="4D7F5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一、理解课程目标</w:t>
            </w:r>
          </w:p>
          <w:p w14:paraId="0307B6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（一）培养幼儿的主动探究精神</w:t>
            </w:r>
          </w:p>
          <w:p w14:paraId="61A63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发展心理学的研究揭示，幼儿是知识的积极探索者，而非被动接受者。家园社合作共育课程的设计宗旨在于激发和引导幼儿与外界环境的积极互动，鼓励他们主动参与学习和探索活动，以此促进幼儿综合能力的增强和提升。</w:t>
            </w:r>
          </w:p>
          <w:p w14:paraId="0C692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（二）尊重和发挥幼儿的主体性</w:t>
            </w:r>
          </w:p>
          <w:p w14:paraId="54A5D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本课程深入地吸取了皮亚杰以及其他著名教育专家的先进理念，特别强调了对幼儿作为学习过程主体的尊重。课程旨在认识并珍视每个幼儿所拥有的内在潜力和独特性。在教师和家长的共同支持与引导下，幼儿将能够充分发挥自身的主动性和创造力，从而成为自己学习经历的真正主人。</w:t>
            </w:r>
          </w:p>
          <w:p w14:paraId="1D910E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（三）坚持公平、普惠、优质的发展理念</w:t>
            </w:r>
          </w:p>
          <w:p w14:paraId="43301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家园社合作，共同推动幼儿的全面发展，是课程实施的核心理念。通过家庭、学校及社会的紧密协作，形成教育合力，关注和支持幼儿的学习方式，为他们提供丰富的教育资源和多样的实践机会，以利于他们在各方面的成长。这种合作模式强调了家庭、学校和社会三者之间的互动与沟通，旨在通过共同努力，为幼儿创造一个全面发展的环境。家庭作为孩子成长的第一课堂，父母的参与和引导至关重要。学校作为专业的教育机构，承担着传授知识和培养能力的重要任务。而社会则提供了广阔的实践平台，让孩子们在真实的情境中学习和成长。三者相互补充，相互促进，共同为幼儿的全面发展提供坚实的基础。</w:t>
            </w:r>
          </w:p>
          <w:p w14:paraId="70B68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（四）社会实践活动的有效融入</w:t>
            </w:r>
          </w:p>
          <w:p w14:paraId="0F0EC6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在课程实施中，我们计划安排一系列有意义的社会实践，如组织幼儿参观社区、部队、文化馆、公共设施和公园等。这样的活动能让幼儿在真实的社会环境中学习和体验，从而获得直接的感受和宝贵的感性经验。</w:t>
            </w:r>
          </w:p>
          <w:p w14:paraId="7353F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（五）促进幼儿情感、态度和认知行为的发展</w:t>
            </w:r>
          </w:p>
          <w:p w14:paraId="4A1DA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bidi="ar"/>
              </w:rPr>
              <w:t>通过将社会实践与自然体验相结合，本课程的目标是丰富幼儿的情感生活，培养他们积极向上的态度，同时促进其认知能力的发展。课程内容旨在帮助幼儿建立正确的行为模式，为他们的未来打下坚实的基础。通过各种互动和体验活动，孩子们将学会如何与他人合作，如何面对挑战，并且培养出解决问题的能力。此外，课程还注重培养幼儿的创造力和想象力，使他们能够在玩耍中学习，从而激发他们对学习的兴趣和好奇心。通过这样的教育方式，我们期望孩子们能够在快乐中成长，逐步形成独立思考和自我表达的能力，为他们日后的学习和生活奠定良好的基础。</w:t>
            </w:r>
          </w:p>
          <w:p w14:paraId="79374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（六）掌握实践策略，具备专业素养</w:t>
            </w:r>
          </w:p>
          <w:p w14:paraId="575919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教师需掌握托幼园所与家庭、社区合作共育的实践策略，并能协同组织实施共育活动。同时，教师应具备爱岗敬业和耐心细致的工作态度，形成正确的儿童观和教育观，拥有良好的职业素养和职业道德，以及强烈的职业责任感和团队精神。</w:t>
            </w:r>
          </w:p>
          <w:p w14:paraId="6FF0A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家园社合作共育课程的开发意在通过家庭和学校的密切配合，加上社会环境的积极参与，为幼儿提供一个多元化、实践性和互动性的学习平台，致力于实现幼儿在情感、态度、认知和行为方面的全面和谐发展。</w:t>
            </w:r>
          </w:p>
          <w:p w14:paraId="09406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46BA3454">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267C041E">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4E30456A">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1CBF308D">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392234D5">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2485BBD9">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6FC9D1D1">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50785DEE">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0D80E756">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4158A1FA">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7359FAE0">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2CC64888">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48007A7A">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62B4784F">
            <w:pPr>
              <w:keepNext w:val="0"/>
              <w:keepLines w:val="0"/>
              <w:suppressLineNumbers w:val="0"/>
              <w:spacing w:before="0" w:beforeAutospacing="0" w:after="0" w:afterAutospacing="0" w:line="360" w:lineRule="auto"/>
              <w:ind w:left="0" w:right="0"/>
              <w:jc w:val="both"/>
              <w:rPr>
                <w:rFonts w:hint="eastAsia" w:ascii="Times New Roman" w:hAnsi="Times New Roman"/>
                <w:b w:val="0"/>
                <w:bCs w:val="0"/>
                <w:sz w:val="24"/>
                <w:szCs w:val="24"/>
              </w:rPr>
            </w:pPr>
          </w:p>
          <w:p w14:paraId="73C6F3AB">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展示家园社合作共育的模式和路径（</w:t>
            </w:r>
            <w:r>
              <w:rPr>
                <w:rFonts w:hint="eastAsia" w:ascii="Times New Roman" w:hAnsi="Times New Roman"/>
                <w:b w:val="0"/>
                <w:bCs w:val="0"/>
                <w:sz w:val="24"/>
                <w:szCs w:val="24"/>
                <w:lang w:val="en-US" w:eastAsia="zh-CN"/>
              </w:rPr>
              <w:t>一</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家园社合作共育的模式和路径</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一</w:t>
            </w:r>
            <w:r>
              <w:rPr>
                <w:rFonts w:hint="eastAsia" w:ascii="Times New Roman" w:hAnsi="Times New Roman"/>
                <w:b w:val="0"/>
                <w:bCs w:val="0"/>
                <w:sz w:val="24"/>
                <w:szCs w:val="24"/>
              </w:rPr>
              <w:t>）的基本理论知识。</w:t>
            </w:r>
          </w:p>
        </w:tc>
      </w:tr>
      <w:tr w14:paraId="12808A3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3DA7FE9">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64435D56">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38FED3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221E12D">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家园社合作共育的模式和路径</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一</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，让学生了解理解课程目标的方法</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0019478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5CACD95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79E77003">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04B4F99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D74B19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如何理解课程目标？</w:t>
            </w:r>
          </w:p>
        </w:tc>
        <w:tc>
          <w:tcPr>
            <w:tcW w:w="1915" w:type="dxa"/>
            <w:tcBorders>
              <w:tl2br w:val="nil"/>
              <w:tr2bl w:val="nil"/>
            </w:tcBorders>
            <w:vAlign w:val="center"/>
          </w:tcPr>
          <w:p w14:paraId="15DAED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4455E4A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A9EA482">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0899C5A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展示家园社合作共育的模式和路径（</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3F5D1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二、实施家园社合作共育的指导思想和开发原则</w:t>
            </w:r>
          </w:p>
          <w:p w14:paraId="3F59C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（一）指导思想</w:t>
            </w:r>
          </w:p>
          <w:p w14:paraId="6D8740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开设的核心是幼儿的发展，旨在为幼儿提供平等的学习与发展机会。课程应与幼儿学习特点及身心发展水平相匹配，激发幼儿积极主动地学习。依据《幼儿园教育指导纲要（试行）》提出的“家庭是幼儿园重要的合作伙伴”，我们应本着尊重、平等合作的原则，争取家长的理解与主动参与，并积极支持家长提高教育能力。幼儿园教育作为基础教育阶段，对幼儿的发展有着深远的影响，其重要性正被越来越多的家长所认同。因此，我们应深入理解《幼儿园教育指导纲要（试行）》精神，促进家园共育的有效实施。</w:t>
            </w:r>
          </w:p>
          <w:p w14:paraId="394E7D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（二）课程开发原则</w:t>
            </w:r>
          </w:p>
          <w:p w14:paraId="59611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面向幼儿原则</w:t>
            </w:r>
          </w:p>
          <w:p w14:paraId="2BBFC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设计家园社合作共育课程时，我们必须首先考虑幼儿的身心发展规律和特点。这一原则强调从幼儿的自然发展过程中去发现教学的起点，尊重每个幼儿在体质、智力、道德和审美等方面的个体差异和发展潜力。课程应围绕幼儿的实际需要进行构建，旨在促使每个幼儿在自身的能力范围内取得最大程度的提升和发展。这要求我们在制定课程目标和内容时，既要考虑到普遍适用性，也要为个别差异留出空间，从而确保所有幼儿都能在自己的起点上获得适宜的挑战和支持。</w:t>
            </w:r>
          </w:p>
          <w:p w14:paraId="2B096E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全面发展性原则</w:t>
            </w:r>
          </w:p>
          <w:p w14:paraId="58EAD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该原则着重于幼儿各方面能力的均衡发展。在课程设计中，我们需遵循幼儿内在的发展节奏，既不可以超前也不应落后于幼儿的成长阶段。全面发展意味着要注重幼儿的身体成长和心理健康，不偏废任何一方。同时，教育不应单一地集中于智力开发，而应兼顾德性和审美的培养，确保体、智、德、美四个方面在课程中得到平衡的重视和发展。这样的全面性是培养健全人格的基础，对幼儿未来的学习生活具有重要影响。</w:t>
            </w:r>
          </w:p>
          <w:p w14:paraId="630E2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整体性原则</w:t>
            </w:r>
          </w:p>
          <w:p w14:paraId="3D7C4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整体性原则要求我们将幼儿教育看作是一个不可分割的整体。在这个视角下，各种教育活动、形式和方法不是孤立存在的元素，而是互相关联、相互影响的组成部分。课程设计应将不同的教学内容和方法整合起来，以系统的方式对幼儿产生协调一致的影响。这种整体性的思考方式有助于构建一个连贯、系统的课程体系，使得幼儿在多方面受到的教育能够协同作用，共同促进幼儿的全面发展。</w:t>
            </w:r>
          </w:p>
          <w:p w14:paraId="0EC4AA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活动性原则</w:t>
            </w:r>
          </w:p>
          <w:p w14:paraId="5CFF5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活动性原则强调将活动作为幼儿学习和发展的中心形式。幼儿通过参与各种有组织的活动来探索世界、体验生活并构建知识。课程设计和组织应当围绕活动来展开，让幼儿在真实的、意义丰富的活动中进行学习。这样的活动不仅包括游戏和探索，还应该包括日常生活实践、艺术表达等多样化的经验，使幼儿在亲身参与和体验中获得认知与情感的全面发展。</w:t>
            </w:r>
          </w:p>
          <w:p w14:paraId="5E37C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可操作性原则</w:t>
            </w:r>
          </w:p>
          <w:p w14:paraId="52082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可操作性原则强调课程设计必须切实可行，易于操作实施。这意味着课程内容和教学方法的选择应该符合实际条件，既不能超出教师的教学能力和资源范围，也不能超出幼儿的理解接受水平。为了确保课程的有效实施，需要有明确的指导方针和具体的评估指标。这些指标应当具体到能够指导日常教学活动，同时又足够灵活，能够适应不同教育环境和幼儿的需要。过于抽象和复杂的理论不仅难以执行，也不利于教师的教和幼儿的学。</w:t>
            </w:r>
          </w:p>
          <w:p w14:paraId="35E8EF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 形式多样原则</w:t>
            </w:r>
          </w:p>
          <w:p w14:paraId="5F92B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为了适应不同幼儿的学习风格和需要，家园社合作共育课程的设计应采取多样化的形式。这一原则鼓励创新和灵活性，通过不同类型的教学活动来增强课程的效果。例如，家长助教活动可以利用家长的资源和能力，综合实践类课程可以将幼儿置于真实或模拟的环境中进行学习，而活动课程则侧重于特定的主题或技能的发展。多样化的方法不仅能够满足不同幼儿的需求，还能激发他们的学习兴趣，提高学习效果。</w:t>
            </w:r>
          </w:p>
          <w:p w14:paraId="600B84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0303CBC6">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展示家园社合作共育的模式和路径（</w:t>
            </w:r>
            <w:r>
              <w:rPr>
                <w:rFonts w:hint="eastAsia" w:ascii="Times New Roman" w:hAnsi="Times New Roman"/>
                <w:b w:val="0"/>
                <w:bCs w:val="0"/>
                <w:sz w:val="24"/>
                <w:szCs w:val="24"/>
                <w:lang w:val="en-US" w:eastAsia="zh-CN"/>
              </w:rPr>
              <w:t>二</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家园社合作共育的模式和路径</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二</w:t>
            </w:r>
            <w:r>
              <w:rPr>
                <w:rFonts w:hint="eastAsia" w:ascii="Times New Roman" w:hAnsi="Times New Roman"/>
                <w:b w:val="0"/>
                <w:bCs w:val="0"/>
                <w:sz w:val="24"/>
                <w:szCs w:val="24"/>
              </w:rPr>
              <w:t>）的基本理论知识。</w:t>
            </w:r>
          </w:p>
        </w:tc>
      </w:tr>
      <w:tr w14:paraId="4EAA71E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62B688FA">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3F716330">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2C8494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AE6EF5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家园社合作共育的模式和路径</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二</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，让学生了解实施家园社合作共育的指导思想和开发原则</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3772A2A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524DDC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19D4818">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7613C18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17FE39A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简述实施家园社合作共育的指导思想</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43DDC4E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5DCD3F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40ACED1">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7F0E843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展示家园社合作共育的模式和路径（</w:t>
            </w:r>
            <w:r>
              <w:rPr>
                <w:rFonts w:hint="eastAsia" w:ascii="宋体" w:hAnsi="宋体" w:cs="宋体"/>
                <w:b w:val="0"/>
                <w:bCs/>
                <w:color w:val="C00000"/>
                <w:kern w:val="2"/>
                <w:sz w:val="24"/>
                <w:szCs w:val="24"/>
                <w:lang w:val="en-US" w:eastAsia="zh-CN" w:bidi="ar"/>
              </w:rPr>
              <w:t>三</w:t>
            </w:r>
            <w:r>
              <w:rPr>
                <w:rFonts w:hint="eastAsia" w:ascii="宋体" w:hAnsi="宋体" w:eastAsia="宋体" w:cs="宋体"/>
                <w:b w:val="0"/>
                <w:bCs/>
                <w:color w:val="C00000"/>
                <w:kern w:val="2"/>
                <w:sz w:val="24"/>
                <w:szCs w:val="24"/>
                <w:lang w:val="en-US" w:eastAsia="zh-CN" w:bidi="ar"/>
              </w:rPr>
              <w:t>）</w:t>
            </w:r>
          </w:p>
          <w:p w14:paraId="26C36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三、家园社合作共育课程的实施</w:t>
            </w:r>
          </w:p>
          <w:p w14:paraId="1EAA3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家园社合作共育课程的实施以主题活动为核心，围绕健康、社会、语言、科学和艺术五大板块展开，旨在全面提升幼儿的情感、态度、认知能力和技能。实施策略如下。</w:t>
            </w:r>
          </w:p>
          <w:p w14:paraId="3880D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家园共育与教学相融合　</w:t>
            </w:r>
            <w:r>
              <w:rPr>
                <w:rFonts w:hint="default" w:ascii="宋体" w:hAnsi="宋体" w:eastAsia="宋体" w:cs="宋体"/>
                <w:b w:val="0"/>
                <w:bCs/>
                <w:color w:val="000000"/>
                <w:kern w:val="2"/>
                <w:sz w:val="24"/>
                <w:szCs w:val="24"/>
                <w:lang w:bidi="ar"/>
              </w:rPr>
              <w:t>在活动的准备阶段，家长们积极地提供各种实物和图片等教育资源，例如秋天的果实以及相关的图片，这极大地丰富了孩子们对季节变化的了解和认识。不仅如此，家长们还直接参与到了课堂教学中，他们利用自己的特长和职业知识，例如教授孩子们如何包粽子、介绍邮政知识等，使得课程内容更加多元化和生动有趣。除此之外，家长们还参与到孩子的品格教育和活动评价中，与教师一起，共同促进孩子的全面发展。</w:t>
            </w:r>
          </w:p>
          <w:p w14:paraId="20254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社区（家委会）作为课程实施的支撑点　</w:t>
            </w:r>
            <w:r>
              <w:rPr>
                <w:rFonts w:hint="default" w:ascii="宋体" w:hAnsi="宋体" w:eastAsia="宋体" w:cs="宋体"/>
                <w:b w:val="0"/>
                <w:bCs/>
                <w:color w:val="000000"/>
                <w:kern w:val="2"/>
                <w:sz w:val="24"/>
                <w:szCs w:val="24"/>
                <w:lang w:bidi="ar"/>
              </w:rPr>
              <w:t>通过社区（家委会）组织的社会实践活动，例如带领孩子们深入田野进行实地体验，教育活动得以从传统的课堂环境延伸至更加广阔的自然和社会领域。社区（家委会）充分利用其丰富的社会资源，积极支持和推动教育活动深入社区，例如精心策划并组织孩子们参观陶瓷展览、绿色军营等有意义的活动，从而极大地拓展了孩子们的学习空间和视野。此外，家委会成员还积极参与到大型亲子活动的组织和实施过程中，通过这些活动的开展，不仅增进了家长与孩子之间的亲子关系，也促进了校园文化的建设和发展，逐渐形成了具有特色的园本文化。</w:t>
            </w:r>
          </w:p>
          <w:p w14:paraId="187D2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建立家园联系网作为课程实施的助推器　共享物质资源，如设置图书漂流区供家长借阅专业幼教杂志，提升家长的教育理念和方法。网络信息资源共享方面，幼儿园建立微信公众平台，发布教育引导信息和社会实践建议，加强家园之间的沟通和协作。</w:t>
            </w:r>
          </w:p>
          <w:p w14:paraId="68B08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这些措施共同构成了家园社合作共育课程实施的框架，家长的积极参与和家委会的支持，以及有效的资源共享机制，促进了家园社合作共育的深入开展，为幼儿提供了全面而丰富的学习体验。</w:t>
            </w:r>
          </w:p>
          <w:p w14:paraId="773878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39B323DF">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展示家园社合作共育的模式和路径（</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家园社合作共育的模式和路径</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rPr>
              <w:t>）的基本理论知识。</w:t>
            </w:r>
          </w:p>
        </w:tc>
      </w:tr>
      <w:tr w14:paraId="2BC9F89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E3F1845">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01D7549A">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209AE6B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933CD1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家园社合作共育的模式和路径</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三</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，让学生了解家园社合作共育课程的实施</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1AA0263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473AC5A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8973DEF">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120C0B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EAD0F56">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简述家园共育与教学相融合的方法</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5C3279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3B6BD45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50B8D23">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2434331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展示家园社合作共育的模式和路径（</w:t>
            </w:r>
            <w:r>
              <w:rPr>
                <w:rFonts w:hint="eastAsia" w:ascii="宋体" w:hAnsi="宋体" w:cs="宋体"/>
                <w:b w:val="0"/>
                <w:bCs/>
                <w:color w:val="C00000"/>
                <w:kern w:val="2"/>
                <w:sz w:val="24"/>
                <w:szCs w:val="24"/>
                <w:lang w:val="en-US" w:eastAsia="zh-CN" w:bidi="ar"/>
              </w:rPr>
              <w:t>四</w:t>
            </w:r>
            <w:r>
              <w:rPr>
                <w:rFonts w:hint="eastAsia" w:ascii="宋体" w:hAnsi="宋体" w:eastAsia="宋体" w:cs="宋体"/>
                <w:b w:val="0"/>
                <w:bCs/>
                <w:color w:val="C00000"/>
                <w:kern w:val="2"/>
                <w:sz w:val="24"/>
                <w:szCs w:val="24"/>
                <w:lang w:val="en-US" w:eastAsia="zh-CN" w:bidi="ar"/>
              </w:rPr>
              <w:t>）</w:t>
            </w:r>
          </w:p>
          <w:p w14:paraId="1C2E0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四、家园社合作共育的课程管理</w:t>
            </w:r>
          </w:p>
          <w:p w14:paraId="429C1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在家园社合作共育的课程管理中，采取以下策略和组织结构以实现高效运作。</w:t>
            </w:r>
          </w:p>
          <w:p w14:paraId="0A3E9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成立专门机构　设立家园社课程管理办公室或联络处，作为三方共育课程管理的协调中心。该办公室负责按照计划组织共同研讨、共同规划、共同实施以及共同验收等工作流程。</w:t>
            </w:r>
          </w:p>
          <w:p w14:paraId="23600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组建三方领导小组　</w:t>
            </w:r>
            <w:r>
              <w:rPr>
                <w:rFonts w:hint="default" w:ascii="宋体" w:hAnsi="宋体" w:eastAsia="宋体" w:cs="宋体"/>
                <w:b w:val="0"/>
                <w:bCs/>
                <w:color w:val="000000"/>
                <w:kern w:val="2"/>
                <w:sz w:val="24"/>
                <w:szCs w:val="24"/>
                <w:lang w:bidi="ar"/>
              </w:rPr>
              <w:t>为了确保课程的质量和适应性，我们建议组建一个由幼儿园、家长委员会以及社区代表共同参与的课程管理领导小组。这个由三方组成的领导小组将承担起一系列重要的职责，其中包括共同制定课程方案，确保课程内容的全面性和适宜性；监督和实施课程，保证课程按照既定目标和标准进行；收集和反馈信息，及时了解课程实施的效果和存在的问题；根据收集到的反馈信息调整课程内容，使之更加符合学生的需求和教育目标；最后，进行课程评价，评估课程实施的效果，为未来的课程改进提供依据。</w:t>
            </w:r>
          </w:p>
          <w:p w14:paraId="2F66F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家长和社区的参与　</w:t>
            </w:r>
            <w:r>
              <w:rPr>
                <w:rFonts w:hint="default" w:ascii="宋体" w:hAnsi="宋体" w:eastAsia="宋体" w:cs="宋体"/>
                <w:b w:val="0"/>
                <w:bCs/>
                <w:color w:val="000000"/>
                <w:kern w:val="2"/>
                <w:sz w:val="24"/>
                <w:szCs w:val="24"/>
                <w:lang w:bidi="ar"/>
              </w:rPr>
              <w:t>家长和社区委员在共育课程管理中扮演着至关重要的角色，他们不仅参与到了课程管理的各个阶段和环节，而且他们的意见和需求也得到了充分的重视和体现，确保了教育过程的全面性和多元性。</w:t>
            </w:r>
          </w:p>
          <w:p w14:paraId="2527B9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课程研究小组的作用　</w:t>
            </w:r>
            <w:r>
              <w:rPr>
                <w:rFonts w:hint="default" w:ascii="宋体" w:hAnsi="宋体" w:eastAsia="宋体" w:cs="宋体"/>
                <w:b w:val="0"/>
                <w:bCs/>
                <w:color w:val="000000"/>
                <w:kern w:val="2"/>
                <w:sz w:val="24"/>
                <w:szCs w:val="24"/>
                <w:lang w:bidi="ar"/>
              </w:rPr>
              <w:t>由业务园长、保教主任和骨干教师等教育专业人员组成的课程研究小组，主要负责课程实施的研究、拓展课程内容以及提供教师培训等工作。这个团队不仅致力于深入分析和优化教学方法，还不断探索新的教育理念，以适应不断变化的教育需求。他们通过定期的会议和研讨，确保课程内容的时效性和相关性，同时，他们还负责设计和实施各种教师专业发展活动，以提升教师的教学能力和专业素养。</w:t>
            </w:r>
          </w:p>
          <w:p w14:paraId="06443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定期的研讨与培训活动　领导小组每周至少进行一次参与式研讨会，包括教材培训和集体备课。这些活动旨在交流班级情况、分析课程活动案例、研究观察方法和记录技巧，确保课程教材得到全面而深入的实施。</w:t>
            </w:r>
          </w:p>
          <w:p w14:paraId="13FF53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通过上述组织结构和管理机制，家园社合作共育的课程管理能够有效地落实，促进幼儿的全面发展和提高教育质量。</w:t>
            </w:r>
          </w:p>
          <w:p w14:paraId="5AE6F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69EDD7C3">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展示家园社合作共育的模式和路径（</w:t>
            </w:r>
            <w:r>
              <w:rPr>
                <w:rFonts w:hint="eastAsia" w:ascii="Times New Roman" w:hAnsi="Times New Roman"/>
                <w:b w:val="0"/>
                <w:bCs w:val="0"/>
                <w:sz w:val="24"/>
                <w:szCs w:val="24"/>
                <w:lang w:val="en-US" w:eastAsia="zh-CN"/>
              </w:rPr>
              <w:t>四</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家园社合作共育的模式和路径</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四</w:t>
            </w:r>
            <w:r>
              <w:rPr>
                <w:rFonts w:hint="eastAsia" w:ascii="Times New Roman" w:hAnsi="Times New Roman"/>
                <w:b w:val="0"/>
                <w:bCs w:val="0"/>
                <w:sz w:val="24"/>
                <w:szCs w:val="24"/>
              </w:rPr>
              <w:t>）的基本理论知识。</w:t>
            </w:r>
          </w:p>
        </w:tc>
      </w:tr>
      <w:tr w14:paraId="7088A20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B577C99">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11592562">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07F8A7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AC722E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家园社合作共育的模式和路径</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四</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，让学生了解家园社合作共育的课程管理</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371B61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4505117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2DA44D1">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79DEFFA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2F5120D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简述课程研究小组的作用</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70F5B25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272DDD7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7205086">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588816C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展示家园社合作共育的模式和路径（</w:t>
            </w:r>
            <w:r>
              <w:rPr>
                <w:rFonts w:hint="eastAsia" w:ascii="宋体" w:hAnsi="宋体" w:cs="宋体"/>
                <w:b w:val="0"/>
                <w:bCs/>
                <w:color w:val="C00000"/>
                <w:kern w:val="2"/>
                <w:sz w:val="24"/>
                <w:szCs w:val="24"/>
                <w:lang w:val="en-US" w:eastAsia="zh-CN" w:bidi="ar"/>
              </w:rPr>
              <w:t>五</w:t>
            </w:r>
            <w:r>
              <w:rPr>
                <w:rFonts w:hint="eastAsia" w:ascii="宋体" w:hAnsi="宋体" w:eastAsia="宋体" w:cs="宋体"/>
                <w:b w:val="0"/>
                <w:bCs/>
                <w:color w:val="C00000"/>
                <w:kern w:val="2"/>
                <w:sz w:val="24"/>
                <w:szCs w:val="24"/>
                <w:lang w:val="en-US" w:eastAsia="zh-CN" w:bidi="ar"/>
              </w:rPr>
              <w:t>）</w:t>
            </w:r>
          </w:p>
          <w:p w14:paraId="5BB28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五、课程评价</w:t>
            </w:r>
          </w:p>
          <w:p w14:paraId="559DF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家园社合作共育课程的评价是确保课程质量和效果的关键部分，主要包括以下内容。</w:t>
            </w:r>
          </w:p>
          <w:p w14:paraId="79FF11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建立教学资源包　将教学活动成果系统化整理，形成家园社合作共育课程资源。这一过程通过积累一系列主题活动中的实施成果，并将其打包，作为教学资源的重要组成部分。</w:t>
            </w:r>
          </w:p>
          <w:p w14:paraId="5F840B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幼儿成长记录袋的建立与维护　在每次活动后，由教师和家长共同完成对幼儿活动的评价，并将评价记录放入成长记录袋中。这种动态的评价方式考虑到幼儿的个性、兴趣和发展水平，通过对幼儿行为的分析，提供客观的评价。</w:t>
            </w:r>
          </w:p>
          <w:p w14:paraId="4958F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课程目标与实施的评价　对家园社合作共育课程的教育计划和活动目标进行评价，确保它们建立在对相应年龄段幼儿现状的深入了解之上。评价内容包括教育内容、方法和策略是否能够激发幼儿的学习兴趣，同时关注教育内容是否兼顾了群体与个体差异，为每个幼儿提供了全面发展的机会。</w:t>
            </w:r>
          </w:p>
          <w:p w14:paraId="20C5D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教师的自我评价　教师在每次活动结束后，应对自己的活动安排和结果进行反思与评价，考察活动目标是否实现以及幼儿是否有所发展。</w:t>
            </w:r>
          </w:p>
          <w:p w14:paraId="54FD8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开放性评价　利用社区和家长资源对幼儿的发展、课程的执行力和实施情况进行评价。这种开放性评价有助于促进家园社合作共育课程的持续完善和改进。</w:t>
            </w:r>
          </w:p>
          <w:p w14:paraId="27B03A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通过这些细化的评价环节，家园社合作共育课程评价体系能够全面、客观地反映课程的成效，进而指导和改进课程设计，提升教育质量，更好地促进幼儿的全面发展。</w:t>
            </w:r>
          </w:p>
          <w:p w14:paraId="32B712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六、保障措施</w:t>
            </w:r>
          </w:p>
          <w:p w14:paraId="2F6A3E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为了确保家园社合作共育课程有效实施，以下是必要的保障措施。</w:t>
            </w:r>
          </w:p>
          <w:p w14:paraId="015B9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成立课程建设小组　</w:t>
            </w:r>
            <w:r>
              <w:rPr>
                <w:rFonts w:hint="default" w:ascii="宋体" w:hAnsi="宋体" w:eastAsia="宋体" w:cs="宋体"/>
                <w:b w:val="0"/>
                <w:bCs/>
                <w:color w:val="000000"/>
                <w:kern w:val="2"/>
                <w:sz w:val="24"/>
                <w:szCs w:val="24"/>
                <w:lang w:bidi="ar"/>
              </w:rPr>
              <w:t>在幼儿园中，为了确保课程内容的质量和效果，特别成立了专门的课程建设小组。这个小组由经验丰富的教育工作者和专家组成，他们负责对幼儿园的课程进行精心规划，确保课程内容既科学又有趣，能够吸引孩子们的注意力并激发他们的学习兴趣。此外，课程建设小组还负责监督课程的实施过程，确保教学活动按照既定计划顺利进行，并且能够根据实际情况灵活调整。最后，小组成员还会对课程效果进行评价和反馈，通过收集孩子们的学习成果和家长的反馈意见，不断优化和改进课程内容，以期达到最佳的教育效果。</w:t>
            </w:r>
          </w:p>
          <w:p w14:paraId="018A1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开展教研培训活动　</w:t>
            </w:r>
            <w:r>
              <w:rPr>
                <w:rFonts w:hint="default" w:ascii="宋体" w:hAnsi="宋体" w:eastAsia="宋体" w:cs="宋体"/>
                <w:b w:val="0"/>
                <w:bCs/>
                <w:color w:val="000000"/>
                <w:kern w:val="2"/>
                <w:sz w:val="24"/>
                <w:szCs w:val="24"/>
                <w:lang w:bidi="ar"/>
              </w:rPr>
              <w:t>通过将园本培训与园本教研紧密结合，采用研训一体的创新方式，我们致力于促进教师在深入研究的过程中不断提升个人的专业能力，在日常的教学实践中不断积累经验，从而确保每位教师都能够具备实施高质量课程的能力。</w:t>
            </w:r>
          </w:p>
          <w:p w14:paraId="780D5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加大经费投入　</w:t>
            </w:r>
            <w:r>
              <w:rPr>
                <w:rFonts w:hint="default" w:ascii="宋体" w:hAnsi="宋体" w:eastAsia="宋体" w:cs="宋体"/>
                <w:b w:val="0"/>
                <w:bCs/>
                <w:color w:val="000000"/>
                <w:kern w:val="2"/>
                <w:sz w:val="24"/>
                <w:szCs w:val="24"/>
                <w:lang w:bidi="ar"/>
              </w:rPr>
              <w:t>为了确保研究项目的顺利进行，我们必须增加经费投入，保证研究经费能够及时划拨到位。此外，改善幼儿园的环境也是至关重要的，这将为课程的实施提供必要的物质条件，从而创造一个更加适宜和有利于儿童学习与成长的环境。</w:t>
            </w:r>
          </w:p>
          <w:p w14:paraId="37117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协调社会和家庭　利用网络等媒介大力宣传家园社合作共育课程，营造积极的社会舆论氛围，争取社会各界、社区和家长的积极配合，探索建立幼儿园、家庭、社区有效参与的新机制，为课程开发和实施提供全面保障。</w:t>
            </w:r>
          </w:p>
          <w:p w14:paraId="3E0A7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通过这些措施，家园社合作共育课程将得到充分的支持和保障，从而更好地促进幼儿的全面发展和提高教育质量。</w:t>
            </w:r>
          </w:p>
          <w:p w14:paraId="2F1F40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1B37786E">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展示家园社合作共育的模式和路径（</w:t>
            </w:r>
            <w:r>
              <w:rPr>
                <w:rFonts w:hint="eastAsia" w:ascii="Times New Roman" w:hAnsi="Times New Roman"/>
                <w:b w:val="0"/>
                <w:bCs w:val="0"/>
                <w:sz w:val="24"/>
                <w:szCs w:val="24"/>
                <w:lang w:val="en-US" w:eastAsia="zh-CN"/>
              </w:rPr>
              <w:t>五</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家园社合作共育的模式和路径</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五</w:t>
            </w:r>
            <w:r>
              <w:rPr>
                <w:rFonts w:hint="eastAsia" w:ascii="Times New Roman" w:hAnsi="Times New Roman"/>
                <w:b w:val="0"/>
                <w:bCs w:val="0"/>
                <w:sz w:val="24"/>
                <w:szCs w:val="24"/>
              </w:rPr>
              <w:t>）的基本理论知识。</w:t>
            </w:r>
          </w:p>
        </w:tc>
      </w:tr>
      <w:tr w14:paraId="54EF3BD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A96CDC0">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3B21B7F2">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5DD26FD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958006">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家园社合作共育的模式和路径</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五</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，让学生了解课程评价、保障措施</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66745A2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7D39402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6173A42F">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7B5E426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FC981F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简述课程目标与实施的评价</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504AE27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2BCBDD0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7F23D919">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0D253EB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展示家园社合作共育课程的结构设计（</w:t>
            </w:r>
            <w:r>
              <w:rPr>
                <w:rFonts w:hint="eastAsia" w:ascii="宋体" w:hAnsi="宋体" w:cs="宋体"/>
                <w:b w:val="0"/>
                <w:bCs/>
                <w:color w:val="C00000"/>
                <w:kern w:val="2"/>
                <w:sz w:val="24"/>
                <w:szCs w:val="24"/>
                <w:lang w:val="en-US" w:eastAsia="zh-CN" w:bidi="ar"/>
              </w:rPr>
              <w:t>一</w:t>
            </w:r>
            <w:r>
              <w:rPr>
                <w:rFonts w:hint="eastAsia" w:ascii="宋体" w:hAnsi="宋体" w:eastAsia="宋体" w:cs="宋体"/>
                <w:b w:val="0"/>
                <w:bCs/>
                <w:color w:val="C00000"/>
                <w:kern w:val="2"/>
                <w:sz w:val="24"/>
                <w:szCs w:val="24"/>
                <w:lang w:val="en-US" w:eastAsia="zh-CN" w:bidi="ar"/>
              </w:rPr>
              <w:t>）</w:t>
            </w:r>
          </w:p>
          <w:p w14:paraId="21BFEF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一、家园社合作共育课程的内涵和理念</w:t>
            </w:r>
          </w:p>
          <w:p w14:paraId="713B0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（一）家园社合作共育的内涵</w:t>
            </w:r>
          </w:p>
          <w:p w14:paraId="33F4E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多元参与主体的合作　家庭、学校和社区作为教育的三大主体，他们在幼儿成长过程中扮演着不同但互补的角色。家园社合作共育强调这三者之间的紧密合作与交流，实现资源共享和优势互补。</w:t>
            </w:r>
          </w:p>
          <w:p w14:paraId="25568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整体发展视角　此模式不仅仅关注幼儿在学术知识上的掌握，更重视幼儿情感、社会性、身体等多方面的全面和谐发展，以及个性和创造力的培养。</w:t>
            </w:r>
          </w:p>
          <w:p w14:paraId="596419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实践与体验的重要性　家园社合作共育将幼儿的亲身体验和实际操作视为学习过程中不可或缺的一部分，鼓励孩子们通过探索、实践来获得知识和技能，从而增强学习的主动性和实用性。</w:t>
            </w:r>
          </w:p>
          <w:p w14:paraId="4181A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平等与普惠的教育机会　这一模式倡导所有幼儿无论背景如何都能获得同等质量的教育资源和机会，确保每个孩子都能在公平的环境中成长。</w:t>
            </w:r>
          </w:p>
          <w:p w14:paraId="16F58E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社会责任与公民意识的培养　家园社合作共育通过组织幼儿参与社区活动和服务等形式，注重培养孩子的社会责任感与公民意识，助力幼儿从小树立起有益于社会的价值观，养成良好的行为习惯。</w:t>
            </w:r>
          </w:p>
          <w:p w14:paraId="1E8C2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 亲子关系的加强　家园社合作共育促进了家长对孩子教育的参与和投入，加强了亲子之间的互动和沟通，有助于建立更加稳固和谐的亲子关系。</w:t>
            </w:r>
          </w:p>
          <w:p w14:paraId="2371E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7. 自然与真实的学习环境　除了传统的教室教学，家园社合作共育提倡在自然和社会真实环境中学习，让幼儿接触更广泛的人、事、物，形成生动、直观的学习体验。</w:t>
            </w:r>
          </w:p>
          <w:p w14:paraId="0863E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家园社合作共育的内涵体现了教育的深度与广度，追求的是个体发展与社会发展相结合的教育效果。各方面资源的整合利用，共同为幼儿创造一个全方位的学习和成长环境。</w:t>
            </w:r>
          </w:p>
          <w:p w14:paraId="0A8A8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（二）家园社合作共育的理念</w:t>
            </w:r>
          </w:p>
          <w:p w14:paraId="30BD5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家园社合作共育的理念主要强调以下方面。</w:t>
            </w:r>
          </w:p>
          <w:p w14:paraId="686B2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多元参与　这一理念认识到家庭、幼儿园和社区在孩子成长中扮演的不同角色，并强调这三者之间的紧密合作。这种合作有助于形成一种综合的教育力量，为儿童的全面发展提供多方面的支持和资源。</w:t>
            </w:r>
          </w:p>
          <w:p w14:paraId="6B6CAF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以幼儿为中心　家园社合作共育将幼儿放在教育教学的核心位置，重视为他们创造一个有利于成长的环境。这意味着所有的教育活动和资源配置都应围绕幼儿的需求和利益来展开。</w:t>
            </w:r>
          </w:p>
          <w:p w14:paraId="03664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资源共享与合力育人　家园社合作共育鼓励各方共享资源，比如社区的资源可以被整合到教育过程中，同时也倡导通过各种活动增强家园社之间的沟通，共同提升育人质量。</w:t>
            </w:r>
          </w:p>
          <w:p w14:paraId="7150D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为了贯彻这些理念，需要采取一系列措施来应对现实中的挑战，如完善政策建设、解决入园难题、提高师资水平、创新社区管理模式等。同时，还需要加强家园社之间的沟通力度，确保信息流通顺畅，以便更好地实现家园社合作共育的目标。</w:t>
            </w:r>
          </w:p>
          <w:p w14:paraId="09B60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72E9983C">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展示家园社合作共育课程的结构设计（</w:t>
            </w:r>
            <w:r>
              <w:rPr>
                <w:rFonts w:hint="eastAsia" w:ascii="Times New Roman" w:hAnsi="Times New Roman"/>
                <w:b w:val="0"/>
                <w:bCs w:val="0"/>
                <w:sz w:val="24"/>
                <w:szCs w:val="24"/>
                <w:lang w:val="en-US" w:eastAsia="zh-CN"/>
              </w:rPr>
              <w:t>一</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家园社合作共育课程的结构设计</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一</w:t>
            </w:r>
            <w:r>
              <w:rPr>
                <w:rFonts w:hint="eastAsia" w:ascii="Times New Roman" w:hAnsi="Times New Roman"/>
                <w:b w:val="0"/>
                <w:bCs w:val="0"/>
                <w:sz w:val="24"/>
                <w:szCs w:val="24"/>
              </w:rPr>
              <w:t>）的基本理论知识。</w:t>
            </w:r>
          </w:p>
        </w:tc>
      </w:tr>
      <w:tr w14:paraId="465B892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1C166EF">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68B815BF">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63C228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76D1D86">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家园社合作共育课程的结构设计</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一</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，让学生了解家园社合作共育课程的内涵和理念</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2B5B703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75C937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4E621B01">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5EE2CA5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0FDB6D9">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简述家园社合作共育的理念</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65B8A0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09110BE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02466051">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0E192A1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展示家园社合作共育课程的结构设计（</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14B42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二、家园社合作共育课程的结构与设置</w:t>
            </w:r>
          </w:p>
          <w:p w14:paraId="23B27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的设置强调启蒙性、整合性和开放性，以适应不同年龄和发展水平的幼儿。课程旨在通过家庭、社区和学校的合作，提供一个多元、自主、开放、整合的教育环境，让儿童以自然的方式成长。办园理念围绕“探究自然、关注社会生活、感受自我成长”三个维度展开。</w:t>
            </w:r>
          </w:p>
          <w:p w14:paraId="246E0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（一）课程整合与开发</w:t>
            </w:r>
          </w:p>
          <w:p w14:paraId="3004A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（1）结合并优化各省的省编教材，自主开发园本课程，课程与活动同行，开发与使用同步，过程与评价一体。</w:t>
            </w:r>
          </w:p>
          <w:p w14:paraId="659DF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（2）课程比例：幼儿园课程分为共性课程和自主课程；自主课程占课程总量的 20%；社区课程占自主课程的 50%。</w:t>
            </w:r>
          </w:p>
          <w:p w14:paraId="2E49B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（二）课程内容体系</w:t>
            </w:r>
          </w:p>
          <w:p w14:paraId="544D9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综合实践课程　</w:t>
            </w:r>
            <w:r>
              <w:rPr>
                <w:rFonts w:hint="default" w:ascii="宋体" w:hAnsi="宋体" w:eastAsia="宋体" w:cs="宋体"/>
                <w:b w:val="0"/>
                <w:bCs/>
                <w:color w:val="000000"/>
                <w:kern w:val="2"/>
                <w:sz w:val="24"/>
                <w:szCs w:val="24"/>
                <w:lang w:bidi="ar"/>
              </w:rPr>
              <w:t>精心策划了一系列丰富多彩的游玩活动，包括亲子采摘活动、放飞活动等，旨在让幼儿在家长的陪同下，能够亲身体验自然的美妙和社会的多彩。这些活动不仅能够增进家庭成员之间的感情，还能让孩子们在快乐中学习，培养他们的观察力、创造力和社交能力。</w:t>
            </w:r>
          </w:p>
          <w:p w14:paraId="1149A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社会生活课程　结合节假日的活动，如端午节包粽子、新年包水饺、中秋节做月饼、环保制作、三八节给妈妈做礼物等，教会幼儿感恩、分享、交流与合作。</w:t>
            </w:r>
          </w:p>
          <w:p w14:paraId="50AEB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自我成长课程　包括走进绿色军营、消防队、幼小衔接、职业体验等，帮助幼儿了解不同生活场景和职业角色。</w:t>
            </w:r>
          </w:p>
          <w:p w14:paraId="2E4938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开发对于幼儿全面发展至关重要。这种教育模式强调家庭、园所与社区的紧密合作，营造多元化学习环境，满足不同儿童的成长需求，促进其认知、情感和社交能力均衡发展。家长的参与加深了亲子关系，使得教育过程更加贴心和有效。社区资源的整合为孩子们提供了实践学习的舞台，增强了他们的实际操作能力。家园社合作共育课程的开发旨在形成一个和谐的教育生态，为孩子们健康成长打下坚实基础。</w:t>
            </w:r>
          </w:p>
          <w:p w14:paraId="192D6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三、家园社合作共育园本课程结构</w:t>
            </w:r>
          </w:p>
          <w:p w14:paraId="7D5ED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园本课程结构包括自然探究、社会生活和自我成长三个维度。在自然探究主线下，开发了参观类、探索类和手工类等综合实践活动课程；在社会生活线索下，完善了社区教育课程、节日课程和环保课程；在自我成长线索下，开发了以幼小衔接课程、未来职业和角色体验为主要内容的自我成长课程。（图 2-4）</w:t>
            </w:r>
          </w:p>
          <w:p w14:paraId="2EB1C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3450590" cy="4918075"/>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450590" cy="4918075"/>
                          </a:xfrm>
                          <a:prstGeom prst="rect">
                            <a:avLst/>
                          </a:prstGeom>
                          <a:noFill/>
                          <a:ln>
                            <a:noFill/>
                          </a:ln>
                        </pic:spPr>
                      </pic:pic>
                    </a:graphicData>
                  </a:graphic>
                </wp:inline>
              </w:drawing>
            </w:r>
          </w:p>
          <w:p w14:paraId="404F6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60C7C67C">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展示家园社合作共育课程的结构设计（</w:t>
            </w:r>
            <w:r>
              <w:rPr>
                <w:rFonts w:hint="eastAsia" w:ascii="Times New Roman" w:hAnsi="Times New Roman"/>
                <w:b w:val="0"/>
                <w:bCs w:val="0"/>
                <w:sz w:val="24"/>
                <w:szCs w:val="24"/>
                <w:lang w:val="en-US" w:eastAsia="zh-CN"/>
              </w:rPr>
              <w:t>二</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家园社合作共育课程的结构设计</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二</w:t>
            </w:r>
            <w:r>
              <w:rPr>
                <w:rFonts w:hint="eastAsia" w:ascii="Times New Roman" w:hAnsi="Times New Roman"/>
                <w:b w:val="0"/>
                <w:bCs w:val="0"/>
                <w:sz w:val="24"/>
                <w:szCs w:val="24"/>
              </w:rPr>
              <w:t>）的基本理论知识。</w:t>
            </w:r>
          </w:p>
        </w:tc>
      </w:tr>
      <w:tr w14:paraId="4F275DB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2AA2CCD3">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1BDE8474">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0F7177E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3EB3A5A">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家园社合作共育课程的结构设计</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二</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，让学生了解家园社合作共育课程的结构与设置、家园社合作共育园本课程结构</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10EF18A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5D0C548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5A1D78A">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188305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349055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简述家园社合作共育园本课程结构</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64136C0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1D4B6F3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F82B193">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31632C6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展示家园社合作共育课程的结构设计（</w:t>
            </w:r>
            <w:r>
              <w:rPr>
                <w:rFonts w:hint="eastAsia" w:ascii="宋体" w:hAnsi="宋体" w:cs="宋体"/>
                <w:b w:val="0"/>
                <w:bCs/>
                <w:color w:val="C00000"/>
                <w:kern w:val="2"/>
                <w:sz w:val="24"/>
                <w:szCs w:val="24"/>
                <w:lang w:val="en-US" w:eastAsia="zh-CN" w:bidi="ar"/>
              </w:rPr>
              <w:t>三</w:t>
            </w:r>
            <w:r>
              <w:rPr>
                <w:rFonts w:hint="eastAsia" w:ascii="宋体" w:hAnsi="宋体" w:eastAsia="宋体" w:cs="宋体"/>
                <w:b w:val="0"/>
                <w:bCs/>
                <w:color w:val="C00000"/>
                <w:kern w:val="2"/>
                <w:sz w:val="24"/>
                <w:szCs w:val="24"/>
                <w:lang w:val="en-US" w:eastAsia="zh-CN" w:bidi="ar"/>
              </w:rPr>
              <w:t>）</w:t>
            </w:r>
          </w:p>
          <w:p w14:paraId="79ACD6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四、家园社合作共育园本课程内容体系</w:t>
            </w:r>
          </w:p>
          <w:p w14:paraId="577EB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园本课程内容体系涵盖了自然探究、社会生活和自我成长三个方面。自然探究方面，通过参观、探索和手工活动，让幼儿亲身体验自然；社会生活方面，结合节假日活动，如端午节包粽子、春节包饺子等，培养幼儿的社会性；自我成长方面，通过走进绿色军营、消防队等活动，帮助幼儿了解不同生活场景和职业角色。</w:t>
            </w:r>
          </w:p>
          <w:p w14:paraId="32A9C0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（一）自然探究</w:t>
            </w:r>
          </w:p>
          <w:p w14:paraId="6B022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在“自然探究”主线下，开发出参观类、探索类和手工类等综合实践活动课程。见表 2-1。</w:t>
            </w:r>
          </w:p>
          <w:p w14:paraId="6BD5C2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4036060" cy="2032635"/>
                  <wp:effectExtent l="0" t="0" r="2540" b="247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4036060" cy="2032635"/>
                          </a:xfrm>
                          <a:prstGeom prst="rect">
                            <a:avLst/>
                          </a:prstGeom>
                          <a:noFill/>
                          <a:ln>
                            <a:noFill/>
                          </a:ln>
                        </pic:spPr>
                      </pic:pic>
                    </a:graphicData>
                  </a:graphic>
                </wp:inline>
              </w:drawing>
            </w:r>
          </w:p>
          <w:p w14:paraId="29DB0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val="en-US" w:eastAsia="zh-CN"/>
              </w:rPr>
            </w:pPr>
            <w:r>
              <w:rPr>
                <w:rFonts w:hint="default"/>
              </w:rPr>
              <w:drawing>
                <wp:inline distT="0" distB="0" distL="114300" distR="114300">
                  <wp:extent cx="4021455" cy="2917825"/>
                  <wp:effectExtent l="0" t="0" r="1714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4021455" cy="2917825"/>
                          </a:xfrm>
                          <a:prstGeom prst="rect">
                            <a:avLst/>
                          </a:prstGeom>
                          <a:noFill/>
                          <a:ln>
                            <a:noFill/>
                          </a:ln>
                        </pic:spPr>
                      </pic:pic>
                    </a:graphicData>
                  </a:graphic>
                </wp:inline>
              </w:drawing>
            </w:r>
          </w:p>
          <w:p w14:paraId="6AFCA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说明：课程内容只是例子，各幼儿园可以根据实际情况另行设定。</w:t>
            </w:r>
          </w:p>
          <w:p w14:paraId="14431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（二）社会生活</w:t>
            </w:r>
          </w:p>
          <w:p w14:paraId="675DFF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在“社会生活”线索下开发完善社区教育课程、节日课程和环保课程。见表 2-2～表 2-4。</w:t>
            </w:r>
          </w:p>
          <w:p w14:paraId="72EDA5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964305" cy="1302385"/>
                  <wp:effectExtent l="0" t="0" r="23495" b="184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3964305" cy="1302385"/>
                          </a:xfrm>
                          <a:prstGeom prst="rect">
                            <a:avLst/>
                          </a:prstGeom>
                          <a:noFill/>
                          <a:ln>
                            <a:noFill/>
                          </a:ln>
                        </pic:spPr>
                      </pic:pic>
                    </a:graphicData>
                  </a:graphic>
                </wp:inline>
              </w:drawing>
            </w:r>
          </w:p>
          <w:p w14:paraId="735E7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938270" cy="1139190"/>
                  <wp:effectExtent l="0" t="0" r="2413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3938270" cy="1139190"/>
                          </a:xfrm>
                          <a:prstGeom prst="rect">
                            <a:avLst/>
                          </a:prstGeom>
                          <a:noFill/>
                          <a:ln>
                            <a:noFill/>
                          </a:ln>
                        </pic:spPr>
                      </pic:pic>
                    </a:graphicData>
                  </a:graphic>
                </wp:inline>
              </w:drawing>
            </w:r>
          </w:p>
          <w:p w14:paraId="6A826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val="en-US" w:eastAsia="zh-CN"/>
              </w:rPr>
            </w:pPr>
            <w:r>
              <w:rPr>
                <w:rFonts w:hint="default"/>
              </w:rPr>
              <w:drawing>
                <wp:inline distT="0" distB="0" distL="114300" distR="114300">
                  <wp:extent cx="3604260" cy="2727325"/>
                  <wp:effectExtent l="0" t="0" r="254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3604260" cy="2727325"/>
                          </a:xfrm>
                          <a:prstGeom prst="rect">
                            <a:avLst/>
                          </a:prstGeom>
                          <a:noFill/>
                          <a:ln>
                            <a:noFill/>
                          </a:ln>
                        </pic:spPr>
                      </pic:pic>
                    </a:graphicData>
                  </a:graphic>
                </wp:inline>
              </w:drawing>
            </w:r>
          </w:p>
          <w:p w14:paraId="7B0A5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（三）自我成长</w:t>
            </w:r>
          </w:p>
          <w:p w14:paraId="61364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在“自我成长”线索下开发以幼小衔接课程、未来职业和角色体验为主要内容的自我成长课程。见表 2-5。</w:t>
            </w:r>
          </w:p>
          <w:p w14:paraId="02B1E9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4"/>
                <w:szCs w:val="24"/>
                <w:lang w:val="en-US" w:eastAsia="zh-CN" w:bidi="ar"/>
              </w:rPr>
            </w:pPr>
            <w:r>
              <w:rPr>
                <w:rFonts w:hint="default"/>
              </w:rPr>
              <w:drawing>
                <wp:inline distT="0" distB="0" distL="114300" distR="114300">
                  <wp:extent cx="3834765" cy="1468755"/>
                  <wp:effectExtent l="0" t="0" r="63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3834765" cy="1468755"/>
                          </a:xfrm>
                          <a:prstGeom prst="rect">
                            <a:avLst/>
                          </a:prstGeom>
                          <a:noFill/>
                          <a:ln>
                            <a:noFill/>
                          </a:ln>
                        </pic:spPr>
                      </pic:pic>
                    </a:graphicData>
                  </a:graphic>
                </wp:inline>
              </w:drawing>
            </w:r>
          </w:p>
          <w:p w14:paraId="79DC0B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说明：课程内容只是例子，各幼儿园可以根据实际情况另行设定。</w:t>
            </w:r>
          </w:p>
          <w:p w14:paraId="508A90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家园社合作共育课程的开发对于幼儿全面发展至关重要，它强调家庭、园所与社区的紧密合作，营造多元化学习环境，满足不同儿童的成长需求，促进其认知、情感和社交能力均衡发展。家长的参与加深了亲子关系，使得教育过程更加贴心和有效。社区资源的整合为孩子们提供了实践学习的舞台，增强了他们的实际操作能力。家园社合作共育课程的开发旨在形成一个和谐的教育生态，为孩子们健康成长打下坚实基础。</w:t>
            </w:r>
          </w:p>
          <w:p w14:paraId="31AF43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63C0CEBE">
            <w:pPr>
              <w:keepNext w:val="0"/>
              <w:keepLines w:val="0"/>
              <w:suppressLineNumbers w:val="0"/>
              <w:spacing w:before="0" w:beforeAutospacing="0" w:after="0" w:afterAutospacing="0" w:line="360" w:lineRule="auto"/>
              <w:ind w:left="0" w:right="0"/>
              <w:jc w:val="both"/>
              <w:rPr>
                <w:rFonts w:hint="default" w:ascii="Times New Roman" w:hAnsi="Times New Roman"/>
                <w:b w:val="0"/>
                <w:bCs w:val="0"/>
                <w:sz w:val="24"/>
                <w:szCs w:val="24"/>
              </w:rPr>
            </w:pPr>
            <w:r>
              <w:rPr>
                <w:rFonts w:hint="eastAsia" w:ascii="Times New Roman" w:hAnsi="Times New Roman"/>
                <w:b w:val="0"/>
                <w:bCs w:val="0"/>
                <w:sz w:val="24"/>
                <w:szCs w:val="24"/>
              </w:rPr>
              <w:t>教师通过</w:t>
            </w:r>
            <w:r>
              <w:rPr>
                <w:rFonts w:hint="eastAsia" w:ascii="Times New Roman" w:hAnsi="Times New Roman"/>
                <w:b w:val="0"/>
                <w:bCs w:val="0"/>
                <w:sz w:val="24"/>
                <w:szCs w:val="24"/>
                <w:lang w:eastAsia="zh-CN"/>
              </w:rPr>
              <w:t>展示家园社合作共育课程的结构设计（</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lang w:eastAsia="zh-CN"/>
              </w:rPr>
              <w:t>）</w:t>
            </w:r>
            <w:r>
              <w:rPr>
                <w:rFonts w:hint="eastAsia" w:ascii="Times New Roman" w:hAnsi="Times New Roman"/>
                <w:b w:val="0"/>
                <w:bCs w:val="0"/>
                <w:sz w:val="24"/>
                <w:szCs w:val="24"/>
              </w:rPr>
              <w:t>，</w:t>
            </w:r>
            <w:r>
              <w:rPr>
                <w:rFonts w:hint="eastAsia" w:ascii="Times New Roman" w:hAnsi="Times New Roman"/>
                <w:b w:val="0"/>
                <w:bCs w:val="0"/>
                <w:sz w:val="24"/>
                <w:szCs w:val="24"/>
                <w:lang w:eastAsia="zh-CN"/>
              </w:rPr>
              <w:t>让</w:t>
            </w:r>
            <w:r>
              <w:rPr>
                <w:rFonts w:hint="eastAsia" w:ascii="Times New Roman" w:hAnsi="Times New Roman"/>
                <w:b w:val="0"/>
                <w:bCs w:val="0"/>
                <w:sz w:val="24"/>
                <w:szCs w:val="24"/>
              </w:rPr>
              <w:t>学生了解</w:t>
            </w:r>
            <w:r>
              <w:rPr>
                <w:rFonts w:hint="eastAsia" w:ascii="Times New Roman" w:hAnsi="Times New Roman"/>
                <w:b w:val="0"/>
                <w:bCs w:val="0"/>
                <w:sz w:val="24"/>
                <w:szCs w:val="24"/>
                <w:lang w:eastAsia="zh-CN"/>
              </w:rPr>
              <w:t>家园社合作共育课程的结构设计</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三</w:t>
            </w:r>
            <w:r>
              <w:rPr>
                <w:rFonts w:hint="eastAsia" w:ascii="Times New Roman" w:hAnsi="Times New Roman"/>
                <w:b w:val="0"/>
                <w:bCs w:val="0"/>
                <w:sz w:val="24"/>
                <w:szCs w:val="24"/>
              </w:rPr>
              <w:t>）的基本理论知识。</w:t>
            </w:r>
          </w:p>
        </w:tc>
      </w:tr>
      <w:tr w14:paraId="4BF8702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EE8F41D">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692206FA">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388144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FBD5109">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家园社合作共育课程的结构设计</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三</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，让学生了解家园社合作共育园本课程内容体系</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554DBD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54FA778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52186569">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48BCF40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2D3D297D">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简述家园社合作共育园本课程内容体系</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280E4D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3CFDA14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10D017F2">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lang w:eastAsia="zh-CN"/>
              </w:rPr>
              <w:t>知识讲解</w:t>
            </w:r>
            <w:r>
              <w:rPr>
                <w:rFonts w:hint="eastAsia" w:ascii="宋体" w:hAnsi="宋体" w:eastAsia="宋体" w:cs="宋体"/>
                <w:sz w:val="28"/>
                <w:szCs w:val="28"/>
              </w:rPr>
              <w:t>（45min）</w:t>
            </w:r>
          </w:p>
        </w:tc>
        <w:tc>
          <w:tcPr>
            <w:tcW w:w="7479" w:type="dxa"/>
            <w:tcBorders>
              <w:tl2br w:val="nil"/>
              <w:tr2bl w:val="nil"/>
            </w:tcBorders>
            <w:vAlign w:val="center"/>
          </w:tcPr>
          <w:p w14:paraId="2025F66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展示思考与练习</w:t>
            </w:r>
          </w:p>
          <w:p w14:paraId="6FD74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一、选择题</w:t>
            </w:r>
          </w:p>
          <w:p w14:paraId="5B114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2024 年学前教育领域正迎来五大显著趋势，以下哪一项表述不符合这些趋势？（　　）</w:t>
            </w:r>
          </w:p>
          <w:p w14:paraId="7E8C8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A. 教育形式从“教学”向“玩学”转变</w:t>
            </w:r>
          </w:p>
          <w:p w14:paraId="2FFE29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B. 教育手段从数字化教学逐步转向实物教学</w:t>
            </w:r>
          </w:p>
          <w:p w14:paraId="2F4299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C. 教育资源从有限扩展到无限</w:t>
            </w:r>
          </w:p>
          <w:p w14:paraId="5A66F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D. 职业定位从“职业”提升到“事业”</w:t>
            </w:r>
          </w:p>
          <w:p w14:paraId="6FD0F7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《中共中央、国务院关于学前教育深化改革规范发展的若干意见》中，学前教育被明确为什么样的基本方向？（　　）</w:t>
            </w:r>
          </w:p>
          <w:p w14:paraId="6631E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A. 公益普惠 B. 高端精英</w:t>
            </w:r>
          </w:p>
          <w:p w14:paraId="10ED4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C. 市场竞争 D. 私立营利</w:t>
            </w:r>
          </w:p>
          <w:p w14:paraId="63949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根据家园社合作共育模式，以下哪个不是幼儿全面发展所包含的方面？（　　）</w:t>
            </w:r>
          </w:p>
          <w:p w14:paraId="276645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A. 认知发展 B. 情感发展</w:t>
            </w:r>
          </w:p>
          <w:p w14:paraId="108F2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C. 美术技能发展 D. 社交能力发展</w:t>
            </w:r>
          </w:p>
          <w:p w14:paraId="18483F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在家园社合作共育模式中，家长参与教育活动的哪种形式不符合“形式多样原则”？（　　）</w:t>
            </w:r>
          </w:p>
          <w:p w14:paraId="50F9B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A. 家长助教活动</w:t>
            </w:r>
          </w:p>
          <w:p w14:paraId="0E5F1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B. 家长参与课堂教学</w:t>
            </w:r>
          </w:p>
          <w:p w14:paraId="368A9F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C. 家长参与孩子的品格教育</w:t>
            </w:r>
          </w:p>
          <w:p w14:paraId="67341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D. 家长以微信方式参与课程评价</w:t>
            </w:r>
          </w:p>
          <w:p w14:paraId="31788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二、填空题</w:t>
            </w:r>
          </w:p>
          <w:p w14:paraId="3AD68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家园社合作共育的核心问题之一是有效地梳理和整合_______、社会、家庭三方面的资源。</w:t>
            </w:r>
          </w:p>
          <w:p w14:paraId="588995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《中华人民共和国学前教育法（草案）》旨在明确学前教育定位，_______，健全规划举办机制，规范学前教育实施，提高保教质量，加强队伍建设，完善投入与监管机制。</w:t>
            </w:r>
          </w:p>
          <w:p w14:paraId="6648D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习近平总书记强调推进学前教育的_______、普惠、安全、优质发展，为立法提供了方向。</w:t>
            </w:r>
          </w:p>
          <w:p w14:paraId="60D9C3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4.家园社合作共育强调_______、_______和_______作为教育的三大主体。</w:t>
            </w:r>
          </w:p>
          <w:p w14:paraId="5596DB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三、简答题</w:t>
            </w:r>
          </w:p>
          <w:p w14:paraId="43CC0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请描述在“玩学”教育形式中，教师应该如何激发儿童学习兴趣。</w:t>
            </w:r>
          </w:p>
          <w:p w14:paraId="701E1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四、案例分析题</w:t>
            </w:r>
          </w:p>
          <w:p w14:paraId="7B13F2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红星幼儿园实施了家园社合作共育模式，通过家长、社区和幼儿园的紧密合作，提高了幼儿认知能力和社交能力。讨论这种合作对幼儿个人发展可能产生的积极影响。请分析，实施过程中的要点是什么？</w:t>
            </w:r>
          </w:p>
          <w:p w14:paraId="71766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915" w:type="dxa"/>
            <w:tcBorders>
              <w:tl2br w:val="nil"/>
              <w:tr2bl w:val="nil"/>
            </w:tcBorders>
            <w:vAlign w:val="center"/>
          </w:tcPr>
          <w:p w14:paraId="69EF786A">
            <w:pPr>
              <w:keepNext w:val="0"/>
              <w:keepLines w:val="0"/>
              <w:suppressLineNumbers w:val="0"/>
              <w:spacing w:before="0" w:beforeAutospacing="0" w:after="0" w:afterAutospacing="0" w:line="360" w:lineRule="auto"/>
              <w:ind w:left="0" w:right="0"/>
              <w:jc w:val="both"/>
              <w:rPr>
                <w:rFonts w:hint="default" w:ascii="Times New Roman" w:hAnsi="Times New Roman" w:eastAsia="宋体"/>
                <w:b w:val="0"/>
                <w:bCs w:val="0"/>
                <w:sz w:val="24"/>
                <w:szCs w:val="24"/>
              </w:rPr>
            </w:pPr>
            <w:r>
              <w:rPr>
                <w:rFonts w:hint="eastAsia" w:ascii="Times New Roman" w:hAnsi="Times New Roman" w:eastAsia="宋体"/>
                <w:b w:val="0"/>
                <w:bCs w:val="0"/>
                <w:sz w:val="24"/>
                <w:szCs w:val="24"/>
              </w:rPr>
              <w:t>教师通过</w:t>
            </w:r>
            <w:r>
              <w:rPr>
                <w:rFonts w:hint="eastAsia" w:ascii="Times New Roman" w:hAnsi="Times New Roman" w:eastAsia="宋体"/>
                <w:b w:val="0"/>
                <w:bCs w:val="0"/>
                <w:sz w:val="24"/>
                <w:szCs w:val="24"/>
                <w:lang w:eastAsia="zh-CN"/>
              </w:rPr>
              <w:t>展示思考与练习</w:t>
            </w:r>
            <w:r>
              <w:rPr>
                <w:rFonts w:hint="eastAsia" w:ascii="Times New Roman" w:hAnsi="Times New Roman" w:eastAsia="宋体"/>
                <w:b w:val="0"/>
                <w:bCs w:val="0"/>
                <w:sz w:val="24"/>
                <w:szCs w:val="24"/>
              </w:rPr>
              <w:t>，</w:t>
            </w:r>
            <w:r>
              <w:rPr>
                <w:rFonts w:hint="eastAsia" w:ascii="Times New Roman" w:hAnsi="Times New Roman" w:eastAsia="宋体"/>
                <w:b w:val="0"/>
                <w:bCs w:val="0"/>
                <w:sz w:val="24"/>
                <w:szCs w:val="24"/>
                <w:lang w:eastAsia="zh-CN"/>
              </w:rPr>
              <w:t>让</w:t>
            </w:r>
            <w:r>
              <w:rPr>
                <w:rFonts w:hint="eastAsia" w:ascii="Times New Roman" w:hAnsi="Times New Roman" w:eastAsia="宋体"/>
                <w:b w:val="0"/>
                <w:bCs w:val="0"/>
                <w:sz w:val="24"/>
                <w:szCs w:val="24"/>
              </w:rPr>
              <w:t>学生</w:t>
            </w:r>
            <w:r>
              <w:rPr>
                <w:rFonts w:hint="eastAsia" w:ascii="Times New Roman" w:hAnsi="Times New Roman" w:eastAsia="宋体"/>
                <w:b w:val="0"/>
                <w:bCs w:val="0"/>
                <w:sz w:val="24"/>
                <w:szCs w:val="24"/>
                <w:lang w:val="en-US" w:eastAsia="zh-CN"/>
              </w:rPr>
              <w:t>增强学习能力</w:t>
            </w:r>
            <w:r>
              <w:rPr>
                <w:rFonts w:hint="eastAsia" w:ascii="Times New Roman" w:hAnsi="Times New Roman" w:eastAsia="宋体"/>
                <w:b w:val="0"/>
                <w:bCs w:val="0"/>
                <w:sz w:val="24"/>
                <w:szCs w:val="24"/>
              </w:rPr>
              <w:t>。</w:t>
            </w:r>
          </w:p>
        </w:tc>
      </w:tr>
      <w:tr w14:paraId="5EF09ED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5D597874">
            <w:pPr>
              <w:keepNext w:val="0"/>
              <w:keepLines w:val="0"/>
              <w:widowControl w:val="0"/>
              <w:suppressLineNumbers w:val="0"/>
              <w:spacing w:before="0" w:beforeAutospacing="0" w:after="0" w:afterAutospacing="0" w:line="240" w:lineRule="auto"/>
              <w:ind w:left="0" w:right="0"/>
              <w:jc w:val="center"/>
              <w:rPr>
                <w:rFonts w:hint="eastAsia" w:ascii="宋体" w:hAnsi="宋体" w:eastAsia="宋体" w:cs="宋体"/>
                <w:b/>
                <w:bCs w:val="0"/>
                <w:kern w:val="2"/>
                <w:sz w:val="28"/>
                <w:szCs w:val="28"/>
              </w:rPr>
            </w:pPr>
            <w:r>
              <w:rPr>
                <w:rFonts w:hint="eastAsia" w:ascii="宋体" w:hAnsi="宋体" w:eastAsia="宋体" w:cs="宋体"/>
                <w:b/>
                <w:bCs w:val="0"/>
                <w:kern w:val="2"/>
                <w:sz w:val="28"/>
                <w:szCs w:val="28"/>
                <w:lang w:val="en-US" w:eastAsia="zh-CN" w:bidi="ar"/>
              </w:rPr>
              <w:t>课堂小结</w:t>
            </w:r>
          </w:p>
          <w:p w14:paraId="293211BB">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
              </w:rPr>
              <w:t>（3min）</w:t>
            </w:r>
          </w:p>
        </w:tc>
        <w:tc>
          <w:tcPr>
            <w:tcW w:w="7479" w:type="dxa"/>
            <w:tcBorders>
              <w:tl2br w:val="nil"/>
              <w:tr2bl w:val="nil"/>
            </w:tcBorders>
            <w:vAlign w:val="center"/>
          </w:tcPr>
          <w:p w14:paraId="1719358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242078">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本单元知识，让学生通过思考与练习巩固所学的知识，提高知识运用能力</w:t>
            </w:r>
            <w:r>
              <w:rPr>
                <w:rFonts w:hint="eastAsia" w:ascii="宋体" w:hAnsi="宋体" w:eastAsia="宋体" w:cs="宋体"/>
                <w:b/>
                <w:bCs w:val="0"/>
                <w:kern w:val="2"/>
                <w:sz w:val="24"/>
                <w:szCs w:val="24"/>
                <w:lang w:val="en-US" w:eastAsia="zh-CN" w:bidi="ar"/>
              </w:rPr>
              <w:t>。</w:t>
            </w:r>
          </w:p>
        </w:tc>
        <w:tc>
          <w:tcPr>
            <w:tcW w:w="1915" w:type="dxa"/>
            <w:tcBorders>
              <w:tl2br w:val="nil"/>
              <w:tr2bl w:val="nil"/>
            </w:tcBorders>
            <w:vAlign w:val="center"/>
          </w:tcPr>
          <w:p w14:paraId="3DB6DF3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通过对所学知识的回顾，培养学生的归纳总结能力</w:t>
            </w:r>
          </w:p>
        </w:tc>
      </w:tr>
      <w:tr w14:paraId="0254A07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0439630E">
            <w:pPr>
              <w:keepNext w:val="0"/>
              <w:keepLines w:val="0"/>
              <w:widowControl w:val="0"/>
              <w:suppressLineNumbers w:val="0"/>
              <w:spacing w:before="0" w:beforeAutospacing="0" w:after="0" w:afterAutospacing="0" w:line="240" w:lineRule="auto"/>
              <w:ind w:left="0" w:leftChars="0" w:right="0" w:rightChars="0"/>
              <w:jc w:val="center"/>
              <w:rPr>
                <w:rFonts w:hint="eastAsia" w:ascii="宋体" w:hAnsi="宋体" w:eastAsia="宋体" w:cs="宋体"/>
                <w:kern w:val="2"/>
                <w:sz w:val="28"/>
                <w:szCs w:val="28"/>
                <w:lang w:val="en-US" w:eastAsia="zh-CN" w:bidi="ar-SA"/>
              </w:rPr>
            </w:pPr>
            <w:r>
              <w:rPr>
                <w:rFonts w:hint="eastAsia" w:ascii="宋体" w:hAnsi="宋体" w:eastAsia="宋体" w:cs="宋体"/>
                <w:b/>
                <w:bCs w:val="0"/>
                <w:kern w:val="2"/>
                <w:sz w:val="28"/>
                <w:szCs w:val="28"/>
                <w:lang w:val="en-US" w:eastAsia="zh-CN" w:bidi="ar"/>
              </w:rPr>
              <w:t>作业布置</w:t>
            </w:r>
            <w:r>
              <w:rPr>
                <w:rFonts w:hint="eastAsia" w:ascii="宋体" w:hAnsi="宋体" w:eastAsia="宋体" w:cs="宋体"/>
                <w:kern w:val="2"/>
                <w:sz w:val="28"/>
                <w:szCs w:val="28"/>
                <w:lang w:val="en-US" w:eastAsia="zh-CN" w:bidi="ar"/>
              </w:rPr>
              <w:t>（2min）</w:t>
            </w:r>
          </w:p>
        </w:tc>
        <w:tc>
          <w:tcPr>
            <w:tcW w:w="7479" w:type="dxa"/>
            <w:tcBorders>
              <w:tl2br w:val="nil"/>
              <w:tr2bl w:val="nil"/>
            </w:tcBorders>
            <w:vAlign w:val="center"/>
          </w:tcPr>
          <w:p w14:paraId="1D68F8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D6078CB">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请描述在“玩学”教育形式中，教师应该如何激发儿童学习兴趣。</w:t>
            </w:r>
          </w:p>
        </w:tc>
        <w:tc>
          <w:tcPr>
            <w:tcW w:w="1915" w:type="dxa"/>
            <w:tcBorders>
              <w:tl2br w:val="nil"/>
              <w:tr2bl w:val="nil"/>
            </w:tcBorders>
            <w:vAlign w:val="center"/>
          </w:tcPr>
          <w:p w14:paraId="41E21C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
              </w:rPr>
              <w:t>通过课后练习，使学生巩固所学新知识</w:t>
            </w:r>
          </w:p>
        </w:tc>
      </w:tr>
      <w:tr w14:paraId="5002086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680" w:hRule="atLeast"/>
          <w:jc w:val="center"/>
        </w:trPr>
        <w:tc>
          <w:tcPr>
            <w:tcW w:w="1661" w:type="dxa"/>
            <w:tcBorders>
              <w:tl2br w:val="nil"/>
              <w:tr2bl w:val="nil"/>
            </w:tcBorders>
            <w:shd w:val="clear" w:color="auto" w:fill="E5FAFF"/>
            <w:vAlign w:val="center"/>
          </w:tcPr>
          <w:p w14:paraId="38FF00B8">
            <w:pPr>
              <w:keepNext w:val="0"/>
              <w:keepLines w:val="0"/>
              <w:suppressLineNumbers w:val="0"/>
              <w:spacing w:before="0" w:beforeAutospacing="0" w:after="0" w:afterAutospacing="0" w:line="240" w:lineRule="auto"/>
              <w:ind w:left="0" w:right="0"/>
              <w:jc w:val="center"/>
              <w:rPr>
                <w:rFonts w:hint="eastAsia" w:ascii="宋体" w:hAnsi="宋体" w:eastAsia="宋体" w:cs="宋体"/>
                <w:b/>
                <w:sz w:val="28"/>
                <w:szCs w:val="28"/>
              </w:rPr>
            </w:pPr>
            <w:r>
              <w:rPr>
                <w:rFonts w:hint="eastAsia" w:ascii="宋体" w:hAnsi="宋体" w:eastAsia="宋体" w:cs="宋体"/>
                <w:b/>
                <w:sz w:val="28"/>
                <w:szCs w:val="28"/>
              </w:rPr>
              <w:t>教学反思</w:t>
            </w:r>
          </w:p>
        </w:tc>
        <w:tc>
          <w:tcPr>
            <w:tcW w:w="9394" w:type="dxa"/>
            <w:gridSpan w:val="2"/>
            <w:tcBorders>
              <w:tl2br w:val="nil"/>
              <w:tr2bl w:val="nil"/>
            </w:tcBorders>
            <w:vAlign w:val="center"/>
          </w:tcPr>
          <w:p w14:paraId="153B1765">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lang w:val="en-US" w:eastAsia="zh-CN"/>
              </w:rPr>
              <w:t>教学</w:t>
            </w:r>
            <w:r>
              <w:rPr>
                <w:rFonts w:hint="default" w:ascii="Times New Roman" w:hAnsi="Times New Roman"/>
                <w:sz w:val="24"/>
                <w:szCs w:val="24"/>
              </w:rPr>
              <w:t>内容深度把控存在问题，对于基础薄弱学生，部分拓展性内容难度过高，导致理解困难；而对于基础较好学生，部分常规内容又稍显简单，无法充分满足其求知欲。</w:t>
            </w:r>
          </w:p>
        </w:tc>
      </w:tr>
    </w:tbl>
    <w:p w14:paraId="214DF688"/>
    <w:sectPr>
      <w:headerReference r:id="rId6" w:type="first"/>
      <w:footerReference r:id="rId8" w:type="first"/>
      <w:headerReference r:id="rId5" w:type="default"/>
      <w:footerReference r:id="rId7" w:type="default"/>
      <w:pgSz w:w="11906" w:h="16838"/>
      <w:pgMar w:top="283" w:right="170" w:bottom="283" w:left="170" w:header="0" w:footer="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7C402">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33E3F">
    <w:pPr>
      <w:pStyle w:val="7"/>
      <w:rPr>
        <w:rFonts w:hint="eastAsia" w:eastAsia="宋体"/>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36123">
    <w:pPr>
      <w:pStyle w:val="8"/>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7CEDF">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-111760</wp:posOffset>
          </wp:positionH>
          <wp:positionV relativeFrom="paragraph">
            <wp:posOffset>11430</wp:posOffset>
          </wp:positionV>
          <wp:extent cx="7559040" cy="10692130"/>
          <wp:effectExtent l="0" t="0" r="3810" b="13970"/>
          <wp:wrapNone/>
          <wp:docPr id="9" name="图片 9" descr="C:/Users/xiaoyu/Desktop/工作文件/教案模板素材/素材/学前背景.jpg学前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xiaoyu/Desktop/工作文件/教案模板素材/素材/学前背景.jpg学前背景"/>
                  <pic:cNvPicPr>
                    <a:picLocks noChangeAspect="1"/>
                  </pic:cNvPicPr>
                </pic:nvPicPr>
                <pic:blipFill>
                  <a:blip r:embed="rId1"/>
                  <a:srcRect/>
                  <a:stretch>
                    <a:fillRect/>
                  </a:stretch>
                </pic:blipFill>
                <pic:spPr>
                  <a:xfrm>
                    <a:off x="0" y="0"/>
                    <a:ext cx="7559040" cy="1069213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54283">
    <w:pPr>
      <w:pStyle w:val="8"/>
      <w:pBdr>
        <w:bottom w:val="none" w:color="auto" w:sz="0" w:space="1"/>
      </w:pBdr>
    </w:pPr>
    <w:r>
      <w:rPr>
        <w:sz w:val="18"/>
      </w:rPr>
      <mc:AlternateContent>
        <mc:Choice Requires="wpg">
          <w:drawing>
            <wp:anchor distT="0" distB="0" distL="114300" distR="114300" simplePos="0" relativeHeight="251659264" behindDoc="1" locked="0" layoutInCell="1" allowOverlap="1">
              <wp:simplePos x="0" y="0"/>
              <wp:positionH relativeFrom="column">
                <wp:posOffset>-107950</wp:posOffset>
              </wp:positionH>
              <wp:positionV relativeFrom="paragraph">
                <wp:posOffset>0</wp:posOffset>
              </wp:positionV>
              <wp:extent cx="7560310" cy="10692130"/>
              <wp:effectExtent l="0" t="0" r="2540" b="13970"/>
              <wp:wrapNone/>
              <wp:docPr id="13" name="组合 13"/>
              <wp:cNvGraphicFramePr/>
              <a:graphic xmlns:a="http://schemas.openxmlformats.org/drawingml/2006/main">
                <a:graphicData uri="http://schemas.microsoft.com/office/word/2010/wordprocessingGroup">
                  <wpg:wgp>
                    <wpg:cNvGrpSpPr/>
                    <wpg:grpSpPr>
                      <a:xfrm>
                        <a:off x="0" y="0"/>
                        <a:ext cx="7560310" cy="10692130"/>
                        <a:chOff x="10793" y="17404"/>
                        <a:chExt cx="11906" cy="16838"/>
                      </a:xfrm>
                    </wpg:grpSpPr>
                    <wps:wsp>
                      <wps:cNvPr id="8" name="矩形 8"/>
                      <wps:cNvSpPr/>
                      <wps:spPr>
                        <a:xfrm>
                          <a:off x="10793" y="17404"/>
                          <a:ext cx="11906" cy="16838"/>
                        </a:xfrm>
                        <a:prstGeom prst="rect">
                          <a:avLst/>
                        </a:prstGeom>
                        <a:solidFill>
                          <a:srgbClr val="00B0F0">
                            <a:alpha val="60000"/>
                          </a:srgb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1"/>
                      <wps:cNvSpPr/>
                      <wps:spPr>
                        <a:xfrm>
                          <a:off x="11049" y="17688"/>
                          <a:ext cx="11395" cy="16271"/>
                        </a:xfrm>
                        <a:prstGeom prst="rect">
                          <a:avLst/>
                        </a:prstGeom>
                        <a:solidFill>
                          <a:schemeClr val="bg1"/>
                        </a:solidFill>
                        <a:ln w="15875" cmpd="sng">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path path="circle">
                              <a:fillToRect l="50000" t="50000" r="50000" b="50000"/>
                            </a:path>
                            <a:tileRect/>
                          </a:gradFill>
                          <a:prstDash val="sys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5pt;margin-top:0pt;height:841.9pt;width:595.3pt;z-index:-251657216;mso-width-relative:page;mso-height-relative:page;" coordorigin="10793,17404" coordsize="11906,16838" o:gfxdata="UEsDBAoAAAAAAIdO4kAAAAAAAAAAAAAAAAAEAAAAZHJzL1BLAwQUAAAACACHTuJAQKbPVtoAAAAK&#10;AQAADwAAAGRycy9kb3ducmV2LnhtbE2PQWvCQBCF7wX/wzJCb7rZhsaQZiNF2p6kUC2U3sZkTILZ&#10;3ZBdE/33HU/1MszwHm++l68vphMjDb51VoNaRiDIlq5qba3he/++SEH4gLbCzlnScCUP62L2kGNW&#10;ucl+0bgLteAQ6zPU0ITQZ1L6siGDful6sqwd3WAw8DnUshpw4nDTyacoSqTB1vKHBnvaNFSedmej&#10;4WPC6TVWb+P2dNxcf/fPnz9bRVo/zlX0AiLQJfyb4YbP6FAw08GdbeVFp2GhVtwlaOB5k9UqTkAc&#10;eEvSOAVZ5PK+QvEHUEsDBBQAAAAIAIdO4kBAlLxT4gMAAEsLAAAOAAAAZHJzL2Uyb0RvYy54bWzt&#10;Vstu4zYU3RfoPxDaN5b8thBn4LHjoEDaCZopumZo6gFQIkvScdJ1F132Dwp0128o+jmD/kYPH1Kc&#10;BwZBH7OqFzJ5Sd3H4T1HPH1z1whyy7WpZbtMspM0Ibxlcle35TL59v32i3lCjKXtjgrZ8mVyz03y&#10;5uzzz04PKudDWUmx45rASWvyg1omlbUqHwwMq3hDzYlUvMViIXVDLaa6HOw0PcB7IwbDNJ0ODlLv&#10;lJaMGwPrJiwm0aN+jUNZFDXjG8n2DW9t8Kq5oBYlmapWJjnz2RYFZ/ZdURhuiVgmqNT6J4JgfOOe&#10;g7NTmpeaqqpmMQX6mhSe1NTQukXQ3tWGWkr2un7mqqmZlkYW9oTJZhAK8Yigiix9gs2Flnvlaynz&#10;Q6l60HFQT1D/227Z17dXmtQ7dMIoIS1tcOJ//v7jh59/IjAAnYMqc2y60OpaXeloKMPMFXxX6Mb9&#10;oxRy53G973Hld5YwGGeTaTrKADnDWpZOF8NsFKFnFc7HvZilswUycBtm43QcDoZV59FFli3SaXQw&#10;nY/mbn3QRR+4JPucDgqNaR7QMv8MreuKKu4PwTggIlogSQTrl98+/PEr8Qm5yNjSA2VyA8xeQOnF&#10;Yju0PloqzZU29oLLhrjBMtFocd959PbS2IBKt8VFNlLUu20thJ/o8mYtNLmljg7p23SbhneFqmiw&#10;TlP8IrombPdIP/IjWnLAQQ1n2EoYhQoUYB+GjUInmbZMCBUl5IVZ7QO00qWA7EL+G2qqEM67DYfd&#10;1BbCIupmmcxdEl0WokUCDtoAphvdyN09DkLLwGej2LYGGpfU2CuqQWCkBYmz7/AohESuMo4SUkn9&#10;w0t2tx+dgtWEHCAIqOP7PdU8IeLLFj20yMZjuLV+Mp7Mhpjo45Wb45V236wlQM4gpor5odtvRTcs&#10;tGy+gxKuXFQs0ZYhdkAsTtY2CBW0lPHVym+DaihqL9trxZxzB2grV3sri9of/gM6ETQwwZH4E1Ai&#10;Q62POAGD14vXkiJLx4uoANO5JxTNH0gxWkw6/g9n3nPP/3+RFFv/6/r/mDux5yfzmcvjFT2Pr0pP&#10;vNKAnO6wSkOURDcF3kWCBSpsZ9vVduOPVOybr+QumCeRCTSH1YmlJ++iMwOEY5qW5jgKlBQ0cpZH&#10;kd5ONsPz9bNI487n41CTzvzRUPPRJwuVIdJLZa3Pz7Pt8FlZLrH4tTlGENrVS8xTBFFpf2KgW0Xc&#10;A9ysNRPuW0DzAnL2Xn4D8XU3C4eQ04Z+BOJGG24ZYRSlGY7c+7YW3L0drMet4sT7SB/vjZv8r5D/&#10;sUL6KwTuWP5bF++D7hJ3PPeK+nAHPvs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QYAAFtDb250ZW50X1R5cGVzXS54bWxQSwECFAAKAAAAAACH&#10;TuJAAAAAAAAAAAAAAAAABgAAAAAAAAAAABAAAAA3BQAAX3JlbHMvUEsBAhQAFAAAAAgAh07iQIoU&#10;ZjzRAAAAlAEAAAsAAAAAAAAAAQAgAAAAWwUAAF9yZWxzLy5yZWxzUEsBAhQACgAAAAAAh07iQAAA&#10;AAAAAAAAAAAAAAQAAAAAAAAAAAAQAAAAAAAAAGRycy9QSwECFAAUAAAACACHTuJAQKbPVtoAAAAK&#10;AQAADwAAAAAAAAABACAAAAAiAAAAZHJzL2Rvd25yZXYueG1sUEsBAhQAFAAAAAgAh07iQECUvFPi&#10;AwAASwsAAA4AAAAAAAAAAQAgAAAAKQEAAGRycy9lMm9Eb2MueG1sUEsFBgAAAAAGAAYAWQEAAH0H&#10;AAAAAA==&#10;">
              <o:lock v:ext="edit" aspectratio="f"/>
              <v:rect id="_x0000_s1026" o:spid="_x0000_s1026" o:spt="1" style="position:absolute;left:10793;top:17404;height:16838;width:11906;v-text-anchor:middle;" fillcolor="#00B0F0" filled="t" stroked="f" coordsize="21600,21600" o:gfxdata="UEsDBAoAAAAAAIdO4kAAAAAAAAAAAAAAAAAEAAAAZHJzL1BLAwQUAAAACACHTuJAii7fdrgAAADa&#10;AAAADwAAAGRycy9kb3ducmV2LnhtbEVPuY7CMBDtkfgHa5DowAkFrAIG7SKBaCjIAvUoHpLs2uMQ&#10;m/PrcYFE+fTu2eJujbhS62vHCtJhAoK4cLrmUsH+dzX4AuEDskbjmBQ8yMNi3u3MMNPuxju65qEU&#10;MYR9hgqqEJpMSl9UZNEPXUMcuZNrLYYI21LqFm8x3Bo5SpKxtFhzbKiwoWVFxX9+sQqOSzM5/HyX&#10;5vk32Z/T4zrnsH0o1e+lyRREoHv4iN/ujVYQt8Yr8QbI+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i7fdrgAAADaAAAA&#10;DwAAAAAAAAABACAAAAAiAAAAZHJzL2Rvd25yZXYueG1sUEsBAhQAFAAAAAgAh07iQDMvBZ47AAAA&#10;OQAAABAAAAAAAAAAAQAgAAAABwEAAGRycy9zaGFwZXhtbC54bWxQSwUGAAAAAAYABgBbAQAAsQMA&#10;AAAA&#10;">
                <v:fill on="t" opacity="39321f" focussize="0,0"/>
                <v:stroke on="f" weight="1pt" miterlimit="8" joinstyle="miter"/>
                <v:imagedata o:title=""/>
                <o:lock v:ext="edit" aspectratio="f"/>
              </v:rect>
              <v:rect id="_x0000_s1026" o:spid="_x0000_s1026" o:spt="1" style="position:absolute;left:11049;top:17688;height:16271;width:11395;v-text-anchor:middle;" fillcolor="#FFFFFF [3212]" filled="t" stroked="t" coordsize="21600,21600" o:gfxdata="UEsDBAoAAAAAAIdO4kAAAAAAAAAAAAAAAAAEAAAAZHJzL1BLAwQUAAAACACHTuJAUFNYcLkAAADb&#10;AAAADwAAAGRycy9kb3ducmV2LnhtbEVPTYvCMBC9C/6HMMLeNK0HWatRRFjWg4JrxfPQjE2xmdQm&#10;1u6/NwsL3ubxPme57m0tOmp95VhBOklAEBdOV1wqOOdf408QPiBrrB2Tgl/ysF4NB0vMtHvyD3Wn&#10;UIoYwj5DBSaEJpPSF4Ys+olriCN3da3FEGFbSt3iM4bbWk6TZCYtVhwbDDa0NVTcTg+rYC99jZuD&#10;aQ75d3eZ3x+l64ujUh+jNFmACNSHt/jfvdNxfgp/v8QD5O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BTWHC5AAAA2wAA&#10;AA8AAAAAAAAAAQAgAAAAIgAAAGRycy9kb3ducmV2LnhtbFBLAQIUABQAAAAIAIdO4kAzLwWeOwAA&#10;ADkAAAAQAAAAAAAAAAEAIAAAAAgBAABkcnMvc2hhcGV4bWwueG1sUEsFBgAAAAAGAAYAWwEAALID&#10;AAAAAA==&#10;">
                <v:fill on="t" focussize="0,0"/>
                <v:stroke weight="1.25pt" color="#000000" miterlimit="8" joinstyle="miter" dashstyle="3 1"/>
                <v:imagedata o:title=""/>
                <o:lock v:ext="edit" aspectratio="f"/>
              </v:rect>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D11A5">
    <w:pPr>
      <w:pStyle w:val="8"/>
      <w:pBdr>
        <w:bottom w:val="none" w:color="auto" w:sz="0" w:space="1"/>
      </w:pBdr>
      <w:rPr>
        <w:rFonts w:hint="eastAsia" w:eastAsia="宋体"/>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QwMGUyNTQxOTQ3OTdiZjM1YmRlMzhhNWY0ODRlNWM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D2F326C"/>
    <w:rsid w:val="112025FB"/>
    <w:rsid w:val="138E17D4"/>
    <w:rsid w:val="1FB84519"/>
    <w:rsid w:val="218A5BED"/>
    <w:rsid w:val="24B477DD"/>
    <w:rsid w:val="28B578A7"/>
    <w:rsid w:val="319D4FDD"/>
    <w:rsid w:val="322A12C5"/>
    <w:rsid w:val="333E3614"/>
    <w:rsid w:val="34AD60CD"/>
    <w:rsid w:val="368D542E"/>
    <w:rsid w:val="388B134B"/>
    <w:rsid w:val="3FFC1ACF"/>
    <w:rsid w:val="436C72A2"/>
    <w:rsid w:val="43CD7F64"/>
    <w:rsid w:val="44B33A23"/>
    <w:rsid w:val="45C91BBA"/>
    <w:rsid w:val="4C7F0E23"/>
    <w:rsid w:val="51D037D2"/>
    <w:rsid w:val="557E031F"/>
    <w:rsid w:val="5A7C6694"/>
    <w:rsid w:val="5C2D08FD"/>
    <w:rsid w:val="6FFFFFA0"/>
    <w:rsid w:val="7E1F5A45"/>
    <w:rsid w:val="DF73C0B9"/>
    <w:rsid w:val="FF702B6C"/>
    <w:rsid w:val="FFC716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qFormat/>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qFormat/>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qFormat/>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24</Pages>
  <Words>17392</Words>
  <Characters>17835</Characters>
  <Lines>1</Lines>
  <Paragraphs>1</Paragraphs>
  <TotalTime>3</TotalTime>
  <ScaleCrop>false</ScaleCrop>
  <LinksUpToDate>false</LinksUpToDate>
  <CharactersWithSpaces>17957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2021-06-10T02:03:00Z</dcterms:created>
  <dc:creator>DELL</dc:creator>
  <cp:lastModifiedBy>嘟嘟</cp:lastModifiedBy>
  <dcterms:modified xsi:type="dcterms:W3CDTF">2025-07-08T09:31:18Z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2AC9A9DEB651342B9BB66268FF11EC9C_43</vt:lpwstr>
  </property>
  <property fmtid="{D5CDD505-2E9C-101B-9397-08002B2CF9AE}" pid="4" name="KSOTemplateDocerSaveRecord">
    <vt:lpwstr>eyJoZGlkIjoiNTRhMzg2OWJjMjI3MTg1NjMwMzY2YzM2YjFhZmRkZDkiLCJ1c2VySWQiOiI2NzMyNTM1ODMifQ==</vt:lpwstr>
  </property>
</Properties>
</file>